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jc w:val="center"/>
      </w:pPr>
      <w:r>
        <w:rPr>
          <w:rFonts w:ascii="Times New Roman" w:hAnsi="Times New Roman"/>
          <w:b/>
          <w:sz w:val="32"/>
        </w:rPr>
        <w:t>GENOMICS LABORATORY SEQUENCING WORKFLOW</w:t>
        <w:br/>
        <w:t>MANAGEMENT SYSTEM</w:t>
      </w:r>
    </w:p>
    <w:p>
      <w:pPr>
        <w:spacing w:before="160" w:after="80"/>
        <w:jc w:val="center"/>
      </w:pPr>
      <w:r>
        <w:rPr>
          <w:rFonts w:ascii="Times New Roman" w:hAnsi="Times New Roman"/>
          <w:b/>
          <w:sz w:val="28"/>
        </w:rPr>
        <w:t>A PROJECT REPORT</w:t>
      </w:r>
    </w:p>
    <w:p>
      <w:pPr>
        <w:spacing w:before="80" w:after="80"/>
        <w:jc w:val="center"/>
      </w:pPr>
      <w:r>
        <w:rPr>
          <w:rFonts w:ascii="Times New Roman" w:hAnsi="Times New Roman"/>
          <w:b/>
          <w:sz w:val="28"/>
        </w:rPr>
        <w:t>Submitted by</w:t>
      </w:r>
    </w:p>
    <w:p>
      <w:pPr>
        <w:spacing w:before="80" w:after="280"/>
        <w:jc w:val="center"/>
      </w:pPr>
      <w:r>
        <w:rPr>
          <w:rFonts w:ascii="Times New Roman" w:hAnsi="Times New Roman"/>
          <w:b/>
          <w:sz w:val="31"/>
        </w:rPr>
        <w:t>NAGA AKSHYA K (310624243106)</w:t>
      </w:r>
    </w:p>
    <w:p>
      <w:pPr>
        <w:spacing w:before="120" w:after="40"/>
        <w:jc w:val="center"/>
      </w:pPr>
      <w:r>
        <w:rPr>
          <w:rFonts w:ascii="Times New Roman" w:hAnsi="Times New Roman"/>
          <w:b w:val="0"/>
          <w:i/>
          <w:sz w:val="28"/>
        </w:rPr>
        <w:t>in partial fulfillment for the award of the Degree</w:t>
        <w:br/>
        <w:t>of</w:t>
      </w:r>
    </w:p>
    <w:p>
      <w:pPr>
        <w:spacing w:before="80" w:after="40"/>
        <w:jc w:val="center"/>
      </w:pPr>
      <w:r>
        <w:rPr>
          <w:rFonts w:ascii="Times New Roman" w:hAnsi="Times New Roman"/>
          <w:b/>
          <w:sz w:val="31"/>
        </w:rPr>
        <w:t>BACHELOR OF TECHNOLOGY</w:t>
      </w:r>
    </w:p>
    <w:p>
      <w:pPr>
        <w:spacing w:before="40" w:after="80"/>
        <w:jc w:val="center"/>
      </w:pPr>
      <w:r>
        <w:rPr>
          <w:rFonts w:ascii="Times New Roman" w:hAnsi="Times New Roman"/>
          <w:i/>
          <w:sz w:val="23"/>
        </w:rPr>
        <w:t>in</w:t>
      </w:r>
    </w:p>
    <w:p>
      <w:pPr>
        <w:spacing w:before="80" w:after="280"/>
        <w:jc w:val="center"/>
      </w:pPr>
      <w:r>
        <w:rPr>
          <w:rFonts w:ascii="Times New Roman" w:hAnsi="Times New Roman"/>
          <w:b/>
          <w:sz w:val="31"/>
        </w:rPr>
        <w:t>ARTIFICIAL INTELLIGENCE AND DATA SCIENCE</w:t>
      </w:r>
    </w:p>
    <w:p>
      <w:pPr>
        <w:spacing w:before="160" w:after="160"/>
        <w:jc w:val="center"/>
      </w:pPr>
      <w:r>
        <w:drawing>
          <wp:inline xmlns:a="http://schemas.openxmlformats.org/drawingml/2006/main" xmlns:pic="http://schemas.openxmlformats.org/drawingml/2006/picture">
            <wp:extent cx="1051560" cy="1132931"/>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1051560" cy="1132931"/>
                    </a:xfrm>
                    <a:prstGeom prst="rect"/>
                  </pic:spPr>
                </pic:pic>
              </a:graphicData>
            </a:graphic>
          </wp:inline>
        </w:drawing>
      </w:r>
    </w:p>
    <w:p>
      <w:pPr>
        <w:spacing w:before="80" w:after="40"/>
        <w:jc w:val="center"/>
      </w:pPr>
      <w:r>
        <w:rPr>
          <w:rFonts w:ascii="Times New Roman" w:hAnsi="Times New Roman"/>
          <w:b/>
          <w:sz w:val="28"/>
        </w:rPr>
        <w:t>EASWARI ENGINEERING COLLEGE</w:t>
      </w:r>
    </w:p>
    <w:p>
      <w:pPr>
        <w:spacing w:before="20" w:after="280"/>
        <w:jc w:val="center"/>
      </w:pPr>
      <w:r>
        <w:rPr>
          <w:rFonts w:ascii="Times New Roman" w:hAnsi="Times New Roman"/>
          <w:b/>
          <w:sz w:val="22"/>
        </w:rPr>
        <w:t>(AN AUTONOMOUS INSTITUTION)</w:t>
        <w:br/>
        <w:t>AFFILIATED TO ANNA UNIVERSITY, CHENNAI</w:t>
        <w:br/>
        <w:t>RAMAPURAM, CHENNAI - 600089</w:t>
      </w:r>
    </w:p>
    <w:p>
      <w:pPr>
        <w:spacing w:before="160" w:after="0"/>
        <w:jc w:val="center"/>
      </w:pPr>
      <w:r>
        <w:rPr>
          <w:rFonts w:ascii="Times New Roman" w:hAnsi="Times New Roman"/>
          <w:b/>
          <w:sz w:val="28"/>
        </w:rPr>
        <w:t>OCTOBER 2026</w:t>
      </w:r>
    </w:p>
    <w:p>
      <w:r>
        <w:br w:type="page"/>
      </w:r>
    </w:p>
    <w:tbl>
      <w:tblPr>
        <w:tblW w:type="auto" w:w="0"/>
        <w:jc w:val="center"/>
        <w:tblLayout w:type="fixed"/>
        <w:tblLook w:firstColumn="1" w:firstRow="1" w:lastColumn="0" w:lastRow="0" w:noHBand="0" w:noVBand="1" w:val="04A0"/>
      </w:tblPr>
      <w:tblGrid>
        <w:gridCol w:w="1584"/>
        <w:gridCol w:w="7056"/>
      </w:tblGrid>
      <w:tr>
        <w:tc>
          <w:tcPr>
            <w:tcW w:type="dxa" w:w="4320"/>
          </w:tcPr>
          <w:p>
            <w:pPr>
              <w:jc w:val="left"/>
            </w:pPr>
            <w:r>
              <w:drawing>
                <wp:inline xmlns:a="http://schemas.openxmlformats.org/drawingml/2006/main" xmlns:pic="http://schemas.openxmlformats.org/drawingml/2006/picture">
                  <wp:extent cx="868680" cy="935899"/>
                  <wp:docPr id="2" name="Picture 2"/>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868680" cy="935899"/>
                          </a:xfrm>
                          <a:prstGeom prst="rect"/>
                        </pic:spPr>
                      </pic:pic>
                    </a:graphicData>
                  </a:graphic>
                </wp:inline>
              </w:drawing>
            </w:r>
          </w:p>
        </w:tc>
        <w:tc>
          <w:tcPr>
            <w:tcW w:type="dxa" w:w="4320"/>
          </w:tcPr>
          <w:p>
            <w:pPr>
              <w:spacing w:before="360"/>
              <w:jc w:val="left"/>
            </w:pPr>
            <w:r>
              <w:rPr>
                <w:rFonts w:ascii="Times New Roman" w:hAnsi="Times New Roman"/>
                <w:b/>
                <w:sz w:val="30"/>
              </w:rPr>
              <w:t>EASWARI ENGINEERING COLLEGE</w:t>
            </w:r>
          </w:p>
        </w:tc>
      </w:tr>
    </w:tbl>
    <w:p>
      <w:pPr>
        <w:spacing w:before="560" w:after="480"/>
        <w:jc w:val="center"/>
      </w:pPr>
      <w:r>
        <w:rPr>
          <w:rFonts w:ascii="Times New Roman" w:hAnsi="Times New Roman"/>
          <w:b/>
          <w:sz w:val="32"/>
        </w:rPr>
        <w:t>BONAFIDE CERTIFICATE</w:t>
      </w:r>
    </w:p>
    <w:p>
      <w:pPr>
        <w:spacing w:before="0" w:after="1200" w:line="300" w:lineRule="auto"/>
        <w:ind w:firstLine="720"/>
        <w:jc w:val="both"/>
      </w:pPr>
      <w:r>
        <w:rPr>
          <w:rFonts w:ascii="Times New Roman" w:hAnsi="Times New Roman"/>
          <w:sz w:val="26"/>
        </w:rPr>
        <w:t>Certified that this mini project report titled "</w:t>
      </w:r>
      <w:r>
        <w:rPr>
          <w:rFonts w:ascii="Times New Roman" w:hAnsi="Times New Roman"/>
          <w:b/>
          <w:sz w:val="26"/>
        </w:rPr>
        <w:t>GENOMICS LABORATORY SEQUENCING WORKFLOW MANAGEMENT SYSTEM</w:t>
      </w:r>
      <w:r>
        <w:rPr>
          <w:rFonts w:ascii="Times New Roman" w:hAnsi="Times New Roman"/>
          <w:sz w:val="26"/>
        </w:rPr>
        <w:t>" is the Bonafide work of "</w:t>
      </w:r>
      <w:r>
        <w:rPr>
          <w:rFonts w:ascii="Times New Roman" w:hAnsi="Times New Roman"/>
          <w:b/>
          <w:sz w:val="26"/>
        </w:rPr>
        <w:t>NAGA AKSHYA K (310624243106)</w:t>
      </w:r>
      <w:r>
        <w:rPr>
          <w:rFonts w:ascii="Times New Roman" w:hAnsi="Times New Roman"/>
          <w:sz w:val="26"/>
        </w:rPr>
        <w:t>", who carried out the project work under my supervision.</w:t>
      </w:r>
    </w:p>
    <w:tbl>
      <w:tblPr>
        <w:tblW w:type="auto" w:w="0"/>
        <w:jc w:val="center"/>
        <w:tblLayout w:type="fixed"/>
        <w:tblLook w:firstColumn="1" w:firstRow="1" w:lastColumn="0" w:lastRow="0" w:noHBand="0" w:noVBand="1" w:val="04A0"/>
      </w:tblPr>
      <w:tblGrid>
        <w:gridCol w:w="4320"/>
        <w:gridCol w:w="4320"/>
      </w:tblGrid>
      <w:tr>
        <w:tc>
          <w:tcPr>
            <w:tcW w:type="dxa" w:w="4320"/>
          </w:tcPr>
          <w:p>
            <w:pPr>
              <w:spacing w:before="1000" w:after="40" w:line="276" w:lineRule="auto"/>
            </w:pPr>
            <w:r>
              <w:rPr>
                <w:rFonts w:ascii="Times New Roman" w:hAnsi="Times New Roman"/>
                <w:b/>
                <w:sz w:val="24"/>
              </w:rPr>
              <w:t>HEAD OF THE DEPARTMENT</w:t>
              <w:br/>
            </w:r>
            <w:r>
              <w:rPr>
                <w:rFonts w:ascii="Times New Roman" w:hAnsi="Times New Roman"/>
                <w:b/>
                <w:sz w:val="24"/>
              </w:rPr>
              <w:t>Dr. T. Kalai Selvi</w:t>
              <w:br/>
            </w:r>
            <w:r>
              <w:rPr>
                <w:rFonts w:ascii="Times New Roman" w:hAnsi="Times New Roman"/>
                <w:sz w:val="22"/>
              </w:rPr>
              <w:t>Easwari Engineering College,</w:t>
              <w:br/>
              <w:t>Ramapuram, Chennai - 600089.</w:t>
            </w:r>
          </w:p>
        </w:tc>
        <w:tc>
          <w:tcPr>
            <w:tcW w:type="dxa" w:w="4320"/>
          </w:tcPr>
          <w:p>
            <w:pPr>
              <w:spacing w:before="1000" w:after="40" w:line="276" w:lineRule="auto"/>
            </w:pPr>
            <w:r>
              <w:rPr>
                <w:rFonts w:ascii="Times New Roman" w:hAnsi="Times New Roman"/>
                <w:b/>
                <w:sz w:val="24"/>
              </w:rPr>
              <w:t>SUPERVISOR</w:t>
              <w:br/>
            </w:r>
            <w:r>
              <w:rPr>
                <w:rFonts w:ascii="Times New Roman" w:hAnsi="Times New Roman"/>
                <w:b/>
                <w:sz w:val="24"/>
              </w:rPr>
              <w:t>Ms. D. S. K. Harshitha</w:t>
              <w:br/>
            </w:r>
            <w:r>
              <w:rPr>
                <w:rFonts w:ascii="Times New Roman" w:hAnsi="Times New Roman"/>
                <w:sz w:val="22"/>
              </w:rPr>
              <w:t>Easwari Engineering College,</w:t>
              <w:br/>
              <w:t>Ramapuram, Chennai - 600089.</w:t>
            </w:r>
          </w:p>
        </w:tc>
      </w:tr>
    </w:tbl>
    <w:p>
      <w:r>
        <w:br w:type="page"/>
      </w:r>
    </w:p>
    <w:tbl>
      <w:tblPr>
        <w:tblW w:type="auto" w:w="0"/>
        <w:jc w:val="center"/>
        <w:tblLayout w:type="fixed"/>
        <w:tblLook w:firstColumn="1" w:firstRow="1" w:lastColumn="0" w:lastRow="0" w:noHBand="0" w:noVBand="1" w:val="04A0"/>
      </w:tblPr>
      <w:tblGrid>
        <w:gridCol w:w="1584"/>
        <w:gridCol w:w="7056"/>
      </w:tblGrid>
      <w:tr>
        <w:tc>
          <w:tcPr>
            <w:tcW w:type="dxa" w:w="4320"/>
          </w:tcPr>
          <w:p>
            <w:pPr>
              <w:jc w:val="left"/>
            </w:pPr>
            <w:r>
              <w:drawing>
                <wp:inline xmlns:a="http://schemas.openxmlformats.org/drawingml/2006/main" xmlns:pic="http://schemas.openxmlformats.org/drawingml/2006/picture">
                  <wp:extent cx="868680" cy="935899"/>
                  <wp:docPr id="3" name="Picture 3"/>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868680" cy="935899"/>
                          </a:xfrm>
                          <a:prstGeom prst="rect"/>
                        </pic:spPr>
                      </pic:pic>
                    </a:graphicData>
                  </a:graphic>
                </wp:inline>
              </w:drawing>
            </w:r>
          </w:p>
        </w:tc>
        <w:tc>
          <w:tcPr>
            <w:tcW w:type="dxa" w:w="4320"/>
          </w:tcPr>
          <w:p>
            <w:pPr>
              <w:spacing w:before="360"/>
              <w:jc w:val="left"/>
            </w:pPr>
            <w:r>
              <w:rPr>
                <w:rFonts w:ascii="Times New Roman" w:hAnsi="Times New Roman"/>
                <w:b/>
                <w:sz w:val="30"/>
              </w:rPr>
              <w:t>EASWARI ENGINEERING COLLEGE</w:t>
            </w:r>
          </w:p>
        </w:tc>
      </w:tr>
    </w:tbl>
    <w:p>
      <w:pPr>
        <w:spacing w:before="560" w:after="480"/>
        <w:jc w:val="center"/>
      </w:pPr>
      <w:r>
        <w:rPr>
          <w:rFonts w:ascii="Times New Roman" w:hAnsi="Times New Roman"/>
          <w:b/>
          <w:sz w:val="32"/>
        </w:rPr>
        <w:t>Certificate of Viva-voce-Examination</w:t>
      </w:r>
    </w:p>
    <w:p>
      <w:pPr>
        <w:spacing w:before="0" w:after="1600" w:line="300" w:lineRule="auto"/>
        <w:ind w:firstLine="720"/>
        <w:jc w:val="both"/>
      </w:pPr>
      <w:r>
        <w:rPr>
          <w:rFonts w:ascii="Times New Roman" w:hAnsi="Times New Roman"/>
          <w:sz w:val="26"/>
        </w:rPr>
        <w:t>This is to certify that the Viva Voce Examination of the Project Work entitled "</w:t>
      </w:r>
      <w:r>
        <w:rPr>
          <w:rFonts w:ascii="Times New Roman" w:hAnsi="Times New Roman"/>
          <w:b/>
          <w:sz w:val="26"/>
        </w:rPr>
        <w:t>Genomics Laboratory Sequencing Workflow Management System</w:t>
      </w:r>
      <w:r>
        <w:rPr>
          <w:rFonts w:ascii="Times New Roman" w:hAnsi="Times New Roman"/>
          <w:sz w:val="26"/>
        </w:rPr>
        <w:t xml:space="preserve">" submitted by </w:t>
      </w:r>
      <w:r>
        <w:rPr>
          <w:rFonts w:ascii="Times New Roman" w:hAnsi="Times New Roman"/>
          <w:b/>
          <w:sz w:val="26"/>
        </w:rPr>
        <w:t>Naga Akshya K (310624243106)</w:t>
      </w:r>
      <w:r>
        <w:rPr>
          <w:rFonts w:ascii="Times New Roman" w:hAnsi="Times New Roman"/>
          <w:sz w:val="26"/>
        </w:rPr>
        <w:t xml:space="preserve"> in partial fulfillment of the requirements for the award of the degree of Bachelor of Technology was conducted on 27-10-2026 in the Department of Artificial Intelligence and Data Science, Easwari Engineering College, Ramapuram - Chennai.</w:t>
      </w:r>
    </w:p>
    <w:p>
      <w:pPr>
        <w:spacing w:before="800" w:after="80"/>
        <w:ind w:left="5472"/>
      </w:pPr>
      <w:r>
        <w:rPr>
          <w:rFonts w:ascii="Times New Roman" w:hAnsi="Times New Roman"/>
          <w:b/>
          <w:sz w:val="26"/>
        </w:rPr>
        <w:t>Internal Examiner</w:t>
      </w:r>
    </w:p>
    <w:p>
      <w:pPr>
        <w:spacing w:before="40" w:after="0"/>
        <w:ind w:left="5472"/>
      </w:pPr>
      <w:r>
        <w:rPr>
          <w:rFonts w:ascii="Times New Roman" w:hAnsi="Times New Roman"/>
          <w:sz w:val="26"/>
        </w:rPr>
        <w:t>Date:</w:t>
      </w:r>
    </w:p>
    <w:p>
      <w:pPr>
        <w:sectPr>
          <w:headerReference w:type="default" r:id="rId9"/>
          <w:footerReference w:type="default" r:id="rId10"/>
          <w:pgSz w:w="12240" w:h="15840"/>
          <w:pgMar w:top="1440" w:right="1800" w:bottom="1440" w:left="1800" w:header="720" w:footer="720" w:gutter="0"/>
          <w:cols w:space="720"/>
          <w:docGrid w:linePitch="360"/>
        </w:sectPr>
      </w:pPr>
    </w:p>
    <w:p>
      <w:pPr>
        <w:spacing w:before="280" w:after="280" w:line="276" w:lineRule="auto"/>
        <w:ind w:firstLine="0"/>
        <w:jc w:val="center"/>
      </w:pPr>
      <w:r>
        <w:rPr>
          <w:rFonts w:ascii="Times New Roman" w:hAnsi="Times New Roman"/>
          <w:b/>
          <w:sz w:val="32"/>
        </w:rPr>
        <w:t>ABSTRACT</w:t>
      </w:r>
    </w:p>
    <w:p>
      <w:pPr>
        <w:spacing w:before="0" w:after="120" w:line="276" w:lineRule="auto"/>
        <w:ind w:firstLine="720"/>
        <w:jc w:val="both"/>
      </w:pPr>
      <w:r>
        <w:rPr>
          <w:rFonts w:ascii="Times New Roman" w:hAnsi="Times New Roman"/>
          <w:b w:val="0"/>
          <w:i w:val="0"/>
          <w:sz w:val="24"/>
        </w:rPr>
        <w:t>Next-Generation Sequencing (NGS) has emerged as a cornerstone of modern precision oncology and personalized medicine, enabling high-resolution molecular tumor profiling and targeted therapeutic intervention. However, molecular diagnostic laboratories encounter profound operational hurdles across high-volume sequencing operations, including fragmented manual accessioning, error-prone specimen tracking across physical freezer matrices, disparate quality control instrument outputs, and non-deterministic laboratory status handoffs. This project presents the Genomics Laboratory Sequencing Workflow Management System (Genomics LIMS), an enterprise-grade, full-stack software platform engineered to deliver comprehensive end-to-end traceability, automated instrument telemetry parsing, intelligent flow cell batching, and regulatory compliance under ISO 15189:2022 and 21 CFR Part 11 standards.</w:t>
      </w:r>
    </w:p>
    <w:p>
      <w:pPr>
        <w:spacing w:before="0" w:after="120" w:line="276" w:lineRule="auto"/>
        <w:ind w:firstLine="720"/>
        <w:jc w:val="both"/>
      </w:pPr>
      <w:r>
        <w:rPr>
          <w:rFonts w:ascii="Times New Roman" w:hAnsi="Times New Roman"/>
          <w:b w:val="0"/>
          <w:i w:val="0"/>
          <w:sz w:val="24"/>
        </w:rPr>
        <w:t>The platform features an automated accessioning engine generating standardized 2D DataMatrix barcoded identifiers, enforcing stringent pre-analytical metadata capture and physical rack coordinate mapping. To mitigate manual transcription errors, an automated Quality Control (QC) Telemetry Ingestion engine was developed to parse tabular and XML metrics exported directly from Agilent 4200 TapeStation and Qubit 4 Fluorometer instruments, extracting DNA Integrity Numbers (DIN), RNA Integrity Numbers (RIN), and fluorometric concentrations with automated gating thresholds. An intelligent sequencing batch optimizer multiplexes dual-indexed patient libraries onto Illumina NovaSeq and NextSeq flow cells (SP, S1, S2 configurations), verifying index compatibility and preventing index collision before sequencing execution.</w:t>
      </w:r>
    </w:p>
    <w:p>
      <w:pPr>
        <w:spacing w:before="0" w:after="120" w:line="276" w:lineRule="auto"/>
        <w:ind w:firstLine="720"/>
        <w:jc w:val="both"/>
      </w:pPr>
      <w:r>
        <w:rPr>
          <w:rFonts w:ascii="Times New Roman" w:hAnsi="Times New Roman"/>
          <w:b w:val="0"/>
          <w:i w:val="0"/>
          <w:sz w:val="24"/>
        </w:rPr>
        <w:t>The software integrates a 6-stage deterministic state transition pipeline spanning Accessioning, Library Preparation, Sequencing Execution, Secondary Bioinformatic Analysis, Somatic Variant Interpretation (AMP/ASCO/CAP tiers I-IV), and Sign-out. Furthermore, the system incorporates an HL7 FHIR Genomics JSON serialization engine that packages patient demographics, molecular findings, and pathogenic variant classifications into standardized FHIR bundles for seamless interoperability with hospital electronic health records (EHR). Complete cryptographic SHA-256 audit trails ensure regulatory accountability. Performance benchmarking demonstrates sub-200ms API response latency and an elimination of specimen mix-ups across extensive simulated clinical runs.</w:t>
      </w:r>
    </w:p>
    <w:p>
      <w:pPr>
        <w:spacing w:before="120" w:after="0" w:line="276" w:lineRule="auto"/>
        <w:ind w:firstLine="720"/>
        <w:jc w:val="both"/>
      </w:pPr>
      <w:r>
        <w:rPr>
          <w:rFonts w:ascii="Times New Roman" w:hAnsi="Times New Roman"/>
          <w:b/>
          <w:sz w:val="24"/>
        </w:rPr>
        <w:t xml:space="preserve">Keywords: </w:t>
      </w:r>
      <w:r>
        <w:rPr>
          <w:rFonts w:ascii="Times New Roman" w:hAnsi="Times New Roman"/>
          <w:i/>
          <w:sz w:val="24"/>
        </w:rPr>
        <w:t>Genomics LIMS, Next-Generation Sequencing, Quality Control Telemetry, Automated Batching, Somatic Variant Classification, HL7 FHIR Interoperability, ISO 15189 Compliance, MERN Stack.</w:t>
      </w:r>
    </w:p>
    <w:p>
      <w:r>
        <w:br w:type="page"/>
      </w:r>
    </w:p>
    <w:p>
      <w:pPr>
        <w:spacing w:before="280" w:after="360" w:line="276" w:lineRule="auto"/>
        <w:ind w:firstLine="0"/>
        <w:jc w:val="center"/>
      </w:pPr>
      <w:r>
        <w:rPr>
          <w:rFonts w:ascii="Times New Roman" w:hAnsi="Times New Roman"/>
          <w:b/>
          <w:sz w:val="32"/>
        </w:rPr>
        <w:t>ACKNOWLEDGEMENT</w:t>
      </w:r>
    </w:p>
    <w:p>
      <w:pPr>
        <w:spacing w:before="0" w:after="160" w:line="276" w:lineRule="auto"/>
        <w:ind w:firstLine="720"/>
        <w:jc w:val="both"/>
      </w:pPr>
      <w:r>
        <w:rPr>
          <w:rFonts w:ascii="Times New Roman" w:hAnsi="Times New Roman"/>
          <w:b w:val="0"/>
          <w:i w:val="0"/>
          <w:sz w:val="24"/>
        </w:rPr>
        <w:t>We express our sincere gratitude to the Principal Dr. P. Deiva Sundari and the Management of our college for providing us with the infrastructural facilities and computational resources to carry out this project work.</w:t>
      </w:r>
    </w:p>
    <w:p>
      <w:pPr>
        <w:spacing w:before="0" w:after="160" w:line="276" w:lineRule="auto"/>
        <w:ind w:firstLine="720"/>
        <w:jc w:val="both"/>
      </w:pPr>
      <w:r>
        <w:rPr>
          <w:rFonts w:ascii="Times New Roman" w:hAnsi="Times New Roman"/>
          <w:b w:val="0"/>
          <w:i w:val="0"/>
          <w:sz w:val="24"/>
        </w:rPr>
        <w:t>We convey our heartfelt thanks to the Head of the Department Dr. T. KalaiSelvi, Department of Artificial Intelligence and Data Science, for the continuous encouragement and support throughout this endeavor.</w:t>
      </w:r>
    </w:p>
    <w:p>
      <w:pPr>
        <w:spacing w:before="0" w:after="160" w:line="276" w:lineRule="auto"/>
        <w:ind w:firstLine="720"/>
        <w:jc w:val="both"/>
      </w:pPr>
      <w:r>
        <w:rPr>
          <w:rFonts w:ascii="Times New Roman" w:hAnsi="Times New Roman"/>
          <w:b w:val="0"/>
          <w:i w:val="0"/>
          <w:sz w:val="24"/>
        </w:rPr>
        <w:t>We are extremely thankful to our Project Guide Ms. D. S. K. Harshitha, Department of Artificial Intelligence and Data Science, for valuable guidance, insightful suggestions, and constant motivation throughout the completion of this project.</w:t>
      </w:r>
    </w:p>
    <w:p>
      <w:pPr>
        <w:spacing w:before="0" w:after="160" w:line="276" w:lineRule="auto"/>
        <w:ind w:firstLine="720"/>
        <w:jc w:val="both"/>
      </w:pPr>
      <w:r>
        <w:rPr>
          <w:rFonts w:ascii="Times New Roman" w:hAnsi="Times New Roman"/>
          <w:b w:val="0"/>
          <w:i w:val="0"/>
          <w:sz w:val="24"/>
        </w:rPr>
        <w:t>We would also like to extend our gratitude to all the faculty members of the Department of Artificial Intelligence and Data Science for their cooperation and constructive feedback.</w:t>
      </w:r>
    </w:p>
    <w:p>
      <w:pPr>
        <w:spacing w:before="0" w:after="0" w:line="276" w:lineRule="auto"/>
        <w:ind w:firstLine="720"/>
        <w:jc w:val="both"/>
      </w:pPr>
      <w:r>
        <w:rPr>
          <w:rFonts w:ascii="Times New Roman" w:hAnsi="Times New Roman"/>
          <w:b w:val="0"/>
          <w:i w:val="0"/>
          <w:sz w:val="24"/>
        </w:rPr>
        <w:t>Finally, we thank our parents and friends for their constant encouragement and help during the course of this project.</w:t>
      </w:r>
    </w:p>
    <w:p>
      <w:r>
        <w:br w:type="page"/>
      </w:r>
    </w:p>
    <w:p>
      <w:pPr>
        <w:spacing w:before="280" w:after="200" w:line="276" w:lineRule="auto"/>
        <w:ind w:firstLine="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2880"/>
        <w:gridCol w:w="2880"/>
        <w:gridCol w:w="2880"/>
      </w:tblGrid>
      <w:tr>
        <w:tc>
          <w:tcPr>
            <w:tcW w:type="dxa" w:w="1728"/>
            <w:tcMar>
              <w:top w:w="18" w:type="dxa"/>
              <w:bottom w:w="18" w:type="dxa"/>
              <w:left w:w="40" w:type="dxa"/>
              <w:right w:w="40" w:type="dxa"/>
            </w:tcMar>
          </w:tcPr>
          <w:p>
            <w:pPr>
              <w:spacing w:before="40" w:after="80"/>
              <w:jc w:val="center"/>
            </w:pPr>
            <w:r>
              <w:rPr>
                <w:rFonts w:ascii="Times New Roman" w:hAnsi="Times New Roman"/>
                <w:b/>
                <w:sz w:val="22"/>
              </w:rPr>
              <w:t>CHAPTER NO.</w:t>
            </w:r>
          </w:p>
        </w:tc>
        <w:tc>
          <w:tcPr>
            <w:tcW w:type="dxa" w:w="5904"/>
            <w:tcMar>
              <w:top w:w="18" w:type="dxa"/>
              <w:bottom w:w="18" w:type="dxa"/>
              <w:left w:w="40" w:type="dxa"/>
              <w:right w:w="40" w:type="dxa"/>
            </w:tcMar>
          </w:tcPr>
          <w:p>
            <w:pPr>
              <w:spacing w:before="40" w:after="80"/>
              <w:jc w:val="left"/>
            </w:pPr>
            <w:r>
              <w:rPr>
                <w:rFonts w:ascii="Times New Roman" w:hAnsi="Times New Roman"/>
                <w:b/>
                <w:sz w:val="22"/>
              </w:rPr>
              <w:t>TITLE</w:t>
            </w:r>
          </w:p>
        </w:tc>
        <w:tc>
          <w:tcPr>
            <w:tcW w:type="dxa" w:w="1008"/>
            <w:tcMar>
              <w:top w:w="18" w:type="dxa"/>
              <w:bottom w:w="18" w:type="dxa"/>
              <w:left w:w="40" w:type="dxa"/>
              <w:right w:w="40" w:type="dxa"/>
            </w:tcMar>
          </w:tcPr>
          <w:p>
            <w:pPr>
              <w:spacing w:before="40" w:after="80"/>
              <w:jc w:val="right"/>
            </w:pPr>
            <w:r>
              <w:rPr>
                <w:rFonts w:ascii="Times New Roman" w:hAnsi="Times New Roman"/>
                <w:b/>
                <w:sz w:val="22"/>
              </w:rPr>
              <w:t>PAGE No.</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ABSTRACT</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i</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ACKNOWLEDGEMENT</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ii</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LIST OF TABLES</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v</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LIST OF FIGURES</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vi</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t>1</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INTRODUCTION</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1</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1.1 OVERVIEW</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1.2 PROBLEM DEFINITION</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2</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1.3 OBJECTIVE</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3</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1.4 SCOPE OF THE PROJECT</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4</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1.5 MOTIVATION</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5</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t>2</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LITERATURE SURVEY</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6</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2.1 LITERATURE REVIEW</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6</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2.2 EXISTING SYSTEM</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7</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2.3 PROPOSED SYSTEM</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8</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t>3</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SYSTEM ANALYSIS</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9</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3.1 SYSTEM REQUIREMENTS</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9</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3.2 SOFTWARE AND HARDWARE REQUIREMENTS</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10</w:t>
            </w:r>
          </w:p>
        </w:tc>
      </w:tr>
    </w:tbl>
    <w:p>
      <w:r>
        <w:br w:type="page"/>
      </w:r>
    </w:p>
    <w:tbl>
      <w:tblPr>
        <w:tblW w:type="auto" w:w="0"/>
        <w:jc w:val="center"/>
        <w:tblLayout w:type="fixed"/>
        <w:tblLook w:firstColumn="1" w:firstRow="1" w:lastColumn="0" w:lastRow="0" w:noHBand="0" w:noVBand="1" w:val="04A0"/>
      </w:tblPr>
      <w:tblGrid>
        <w:gridCol w:w="2880"/>
        <w:gridCol w:w="2880"/>
        <w:gridCol w:w="2880"/>
      </w:tblGrid>
      <w:tr>
        <w:tc>
          <w:tcPr>
            <w:tcW w:type="dxa" w:w="1728"/>
            <w:tcMar>
              <w:top w:w="18" w:type="dxa"/>
              <w:bottom w:w="18" w:type="dxa"/>
              <w:left w:w="40" w:type="dxa"/>
              <w:right w:w="40" w:type="dxa"/>
            </w:tcMar>
          </w:tcPr>
          <w:p>
            <w:pPr>
              <w:spacing w:before="20" w:after="40"/>
              <w:jc w:val="center"/>
            </w:pPr>
            <w:r>
              <w:rPr>
                <w:rFonts w:ascii="Times New Roman" w:hAnsi="Times New Roman"/>
                <w:b/>
                <w:sz w:val="22"/>
              </w:rPr>
              <w:t>4</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METHODOLOGY</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11</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4.1 SYSTEM ARCHITECTURE</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11</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4.2 MODULE DESCRIPTION</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12</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4.3 CLASS DIAGRAM</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14</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4.4 SEQUENCE DIAGRAM</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15</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t>5</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RESULTS AND DISCUSSION</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16</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5.1 IMPLEMENTATION OVERVIEW</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16</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5.2 KEY FUNCTIONS (CODE EXPLANATION)</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17</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t>6</w:t>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CONCLUSION &amp; FUTURE WORK</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18</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6.1 CONCLUSION</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18</w:t>
            </w:r>
          </w:p>
        </w:tc>
      </w:tr>
      <w:tr>
        <w:tc>
          <w:tcPr>
            <w:tcW w:type="dxa" w:w="1728"/>
            <w:tcMar>
              <w:top w:w="18" w:type="dxa"/>
              <w:bottom w:w="18" w:type="dxa"/>
              <w:left w:w="40" w:type="dxa"/>
              <w:right w:w="40" w:type="dxa"/>
            </w:tcMar>
          </w:tcPr>
          <w:p>
            <w:pPr>
              <w:spacing w:before="20" w:after="40"/>
              <w:jc w:val="center"/>
            </w:pPr>
            <w:r>
              <w:rPr>
                <w:rFonts w:ascii="Times New Roman" w:hAnsi="Times New Roman"/>
                <w:b w:val="0"/>
                <w:sz w:val="22"/>
              </w:rPr>
            </w:r>
          </w:p>
        </w:tc>
        <w:tc>
          <w:tcPr>
            <w:tcW w:type="dxa" w:w="5904"/>
            <w:tcMar>
              <w:top w:w="18" w:type="dxa"/>
              <w:bottom w:w="18" w:type="dxa"/>
              <w:left w:w="40" w:type="dxa"/>
              <w:right w:w="40" w:type="dxa"/>
            </w:tcMar>
          </w:tcPr>
          <w:p>
            <w:pPr>
              <w:spacing w:before="20" w:after="40"/>
              <w:ind w:left="288"/>
              <w:jc w:val="left"/>
            </w:pPr>
            <w:r>
              <w:rPr>
                <w:rFonts w:ascii="Times New Roman" w:hAnsi="Times New Roman"/>
                <w:b w:val="0"/>
                <w:sz w:val="22"/>
              </w:rPr>
              <w:t>6.2 FUTURE ENHANCEMENTS</w:t>
            </w:r>
          </w:p>
        </w:tc>
        <w:tc>
          <w:tcPr>
            <w:tcW w:type="dxa" w:w="1008"/>
            <w:tcMar>
              <w:top w:w="18" w:type="dxa"/>
              <w:bottom w:w="18" w:type="dxa"/>
              <w:left w:w="40" w:type="dxa"/>
              <w:right w:w="40" w:type="dxa"/>
            </w:tcMar>
          </w:tcPr>
          <w:p>
            <w:pPr>
              <w:spacing w:before="20" w:after="40"/>
              <w:jc w:val="right"/>
            </w:pPr>
            <w:r>
              <w:rPr>
                <w:rFonts w:ascii="Times New Roman" w:hAnsi="Times New Roman"/>
                <w:b w:val="0"/>
                <w:sz w:val="22"/>
              </w:rPr>
              <w:t>19</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APPENDIX</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20</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SCREENSHOTS</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34</w:t>
            </w:r>
          </w:p>
        </w:tc>
      </w:tr>
      <w:tr>
        <w:tc>
          <w:tcPr>
            <w:tcW w:type="dxa" w:w="1728"/>
            <w:tcMar>
              <w:top w:w="18" w:type="dxa"/>
              <w:bottom w:w="18" w:type="dxa"/>
              <w:left w:w="40" w:type="dxa"/>
              <w:right w:w="40" w:type="dxa"/>
            </w:tcMar>
          </w:tcPr>
          <w:p>
            <w:pPr>
              <w:spacing w:before="20" w:after="40"/>
              <w:jc w:val="center"/>
            </w:pPr>
            <w:r>
              <w:rPr>
                <w:rFonts w:ascii="Times New Roman" w:hAnsi="Times New Roman"/>
                <w:b/>
                <w:sz w:val="22"/>
              </w:rPr>
            </w:r>
          </w:p>
        </w:tc>
        <w:tc>
          <w:tcPr>
            <w:tcW w:type="dxa" w:w="5904"/>
            <w:tcMar>
              <w:top w:w="18" w:type="dxa"/>
              <w:bottom w:w="18" w:type="dxa"/>
              <w:left w:w="40" w:type="dxa"/>
              <w:right w:w="40" w:type="dxa"/>
            </w:tcMar>
          </w:tcPr>
          <w:p>
            <w:pPr>
              <w:spacing w:before="20" w:after="40"/>
              <w:ind w:left="0"/>
              <w:jc w:val="left"/>
            </w:pPr>
            <w:r>
              <w:rPr>
                <w:rFonts w:ascii="Times New Roman" w:hAnsi="Times New Roman"/>
                <w:b/>
                <w:sz w:val="22"/>
              </w:rPr>
              <w:t>REFERENCES</w:t>
            </w:r>
          </w:p>
        </w:tc>
        <w:tc>
          <w:tcPr>
            <w:tcW w:type="dxa" w:w="1008"/>
            <w:tcMar>
              <w:top w:w="18" w:type="dxa"/>
              <w:bottom w:w="18" w:type="dxa"/>
              <w:left w:w="40" w:type="dxa"/>
              <w:right w:w="40" w:type="dxa"/>
            </w:tcMar>
          </w:tcPr>
          <w:p>
            <w:pPr>
              <w:spacing w:before="20" w:after="40"/>
              <w:jc w:val="right"/>
            </w:pPr>
            <w:r>
              <w:rPr>
                <w:rFonts w:ascii="Times New Roman" w:hAnsi="Times New Roman"/>
                <w:b/>
                <w:sz w:val="22"/>
              </w:rPr>
              <w:t>39</w:t>
            </w:r>
          </w:p>
        </w:tc>
      </w:tr>
    </w:tbl>
    <w:p>
      <w:r>
        <w:br w:type="page"/>
      </w:r>
    </w:p>
    <w:p>
      <w:pPr>
        <w:spacing w:before="280" w:after="280" w:line="276" w:lineRule="auto"/>
        <w:ind w:firstLine="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Pr>
      <w:tblGrid>
        <w:gridCol w:w="2880"/>
        <w:gridCol w:w="2880"/>
        <w:gridCol w:w="2880"/>
      </w:tblGrid>
      <w:tr>
        <w:tc>
          <w:tcPr>
            <w:tcW w:type="dxa" w:w="1728"/>
            <w:tcMar>
              <w:top w:w="24" w:type="dxa"/>
              <w:bottom w:w="24" w:type="dxa"/>
              <w:left w:w="40" w:type="dxa"/>
              <w:right w:w="40" w:type="dxa"/>
            </w:tcMar>
          </w:tcPr>
          <w:p>
            <w:pPr>
              <w:jc w:val="center"/>
            </w:pPr>
            <w:r>
              <w:rPr>
                <w:rFonts w:ascii="Times New Roman" w:hAnsi="Times New Roman"/>
                <w:b/>
                <w:sz w:val="22"/>
              </w:rPr>
              <w:t>TABLE NO.</w:t>
            </w:r>
          </w:p>
        </w:tc>
        <w:tc>
          <w:tcPr>
            <w:tcW w:type="dxa" w:w="5904"/>
            <w:tcMar>
              <w:top w:w="24" w:type="dxa"/>
              <w:bottom w:w="24" w:type="dxa"/>
              <w:left w:w="40" w:type="dxa"/>
              <w:right w:w="40" w:type="dxa"/>
            </w:tcMar>
          </w:tcPr>
          <w:p>
            <w:pPr>
              <w:jc w:val="left"/>
            </w:pPr>
            <w:r>
              <w:rPr>
                <w:rFonts w:ascii="Times New Roman" w:hAnsi="Times New Roman"/>
                <w:b/>
                <w:sz w:val="22"/>
              </w:rPr>
              <w:t>TABLE TITLE</w:t>
            </w:r>
          </w:p>
        </w:tc>
        <w:tc>
          <w:tcPr>
            <w:tcW w:type="dxa" w:w="1008"/>
            <w:tcMar>
              <w:top w:w="24" w:type="dxa"/>
              <w:bottom w:w="24" w:type="dxa"/>
              <w:left w:w="40" w:type="dxa"/>
              <w:right w:w="40" w:type="dxa"/>
            </w:tcMar>
          </w:tcPr>
          <w:p>
            <w:pPr>
              <w:jc w:val="right"/>
            </w:pPr>
            <w:r>
              <w:rPr>
                <w:rFonts w:ascii="Times New Roman" w:hAnsi="Times New Roman"/>
                <w:b/>
                <w:sz w:val="22"/>
              </w:rPr>
              <w:t>PAGE No.</w:t>
            </w:r>
          </w:p>
        </w:tc>
      </w:tr>
      <w:tr>
        <w:tc>
          <w:tcPr>
            <w:tcW w:type="dxa" w:w="1728"/>
            <w:tcMar>
              <w:top w:w="24" w:type="dxa"/>
              <w:bottom w:w="24" w:type="dxa"/>
              <w:left w:w="40" w:type="dxa"/>
              <w:right w:w="40" w:type="dxa"/>
            </w:tcMar>
          </w:tcPr>
          <w:p>
            <w:pPr>
              <w:jc w:val="center"/>
            </w:pPr>
            <w:r>
              <w:rPr>
                <w:rFonts w:ascii="Times New Roman" w:hAnsi="Times New Roman"/>
                <w:sz w:val="22"/>
              </w:rPr>
              <w:t>3.1</w:t>
            </w:r>
          </w:p>
        </w:tc>
        <w:tc>
          <w:tcPr>
            <w:tcW w:type="dxa" w:w="5904"/>
            <w:tcMar>
              <w:top w:w="24" w:type="dxa"/>
              <w:bottom w:w="24" w:type="dxa"/>
              <w:left w:w="40" w:type="dxa"/>
              <w:right w:w="40" w:type="dxa"/>
            </w:tcMar>
          </w:tcPr>
          <w:p>
            <w:pPr>
              <w:jc w:val="left"/>
            </w:pPr>
            <w:r>
              <w:rPr>
                <w:rFonts w:ascii="Times New Roman" w:hAnsi="Times New Roman"/>
                <w:sz w:val="22"/>
              </w:rPr>
              <w:t>Minimum Software Requirements for Development and Hosting</w:t>
            </w:r>
          </w:p>
        </w:tc>
        <w:tc>
          <w:tcPr>
            <w:tcW w:type="dxa" w:w="1008"/>
            <w:tcMar>
              <w:top w:w="24" w:type="dxa"/>
              <w:bottom w:w="24" w:type="dxa"/>
              <w:left w:w="40" w:type="dxa"/>
              <w:right w:w="40" w:type="dxa"/>
            </w:tcMar>
          </w:tcPr>
          <w:p>
            <w:pPr>
              <w:jc w:val="right"/>
            </w:pPr>
            <w:r>
              <w:rPr>
                <w:rFonts w:ascii="Times New Roman" w:hAnsi="Times New Roman"/>
                <w:sz w:val="22"/>
              </w:rPr>
              <w:t>10</w:t>
            </w:r>
          </w:p>
        </w:tc>
      </w:tr>
      <w:tr>
        <w:tc>
          <w:tcPr>
            <w:tcW w:type="dxa" w:w="1728"/>
            <w:tcMar>
              <w:top w:w="24" w:type="dxa"/>
              <w:bottom w:w="24" w:type="dxa"/>
              <w:left w:w="40" w:type="dxa"/>
              <w:right w:w="40" w:type="dxa"/>
            </w:tcMar>
          </w:tcPr>
          <w:p>
            <w:pPr>
              <w:jc w:val="center"/>
            </w:pPr>
            <w:r>
              <w:rPr>
                <w:rFonts w:ascii="Times New Roman" w:hAnsi="Times New Roman"/>
                <w:sz w:val="22"/>
              </w:rPr>
              <w:t>3.2</w:t>
            </w:r>
          </w:p>
        </w:tc>
        <w:tc>
          <w:tcPr>
            <w:tcW w:type="dxa" w:w="5904"/>
            <w:tcMar>
              <w:top w:w="24" w:type="dxa"/>
              <w:bottom w:w="24" w:type="dxa"/>
              <w:left w:w="40" w:type="dxa"/>
              <w:right w:w="40" w:type="dxa"/>
            </w:tcMar>
          </w:tcPr>
          <w:p>
            <w:pPr>
              <w:jc w:val="left"/>
            </w:pPr>
            <w:r>
              <w:rPr>
                <w:rFonts w:ascii="Times New Roman" w:hAnsi="Times New Roman"/>
                <w:sz w:val="22"/>
              </w:rPr>
              <w:t>Hardware Specifications for Development and Production Server</w:t>
            </w:r>
          </w:p>
        </w:tc>
        <w:tc>
          <w:tcPr>
            <w:tcW w:type="dxa" w:w="1008"/>
            <w:tcMar>
              <w:top w:w="24" w:type="dxa"/>
              <w:bottom w:w="24" w:type="dxa"/>
              <w:left w:w="40" w:type="dxa"/>
              <w:right w:w="40" w:type="dxa"/>
            </w:tcMar>
          </w:tcPr>
          <w:p>
            <w:pPr>
              <w:jc w:val="right"/>
            </w:pPr>
            <w:r>
              <w:rPr>
                <w:rFonts w:ascii="Times New Roman" w:hAnsi="Times New Roman"/>
                <w:sz w:val="22"/>
              </w:rPr>
              <w:t>10</w:t>
            </w:r>
          </w:p>
        </w:tc>
      </w:tr>
      <w:tr>
        <w:tc>
          <w:tcPr>
            <w:tcW w:type="dxa" w:w="1728"/>
            <w:tcMar>
              <w:top w:w="24" w:type="dxa"/>
              <w:bottom w:w="24" w:type="dxa"/>
              <w:left w:w="40" w:type="dxa"/>
              <w:right w:w="40" w:type="dxa"/>
            </w:tcMar>
          </w:tcPr>
          <w:p>
            <w:pPr>
              <w:jc w:val="center"/>
            </w:pPr>
            <w:r>
              <w:rPr>
                <w:rFonts w:ascii="Times New Roman" w:hAnsi="Times New Roman"/>
                <w:sz w:val="22"/>
              </w:rPr>
              <w:t>4.1</w:t>
            </w:r>
          </w:p>
        </w:tc>
        <w:tc>
          <w:tcPr>
            <w:tcW w:type="dxa" w:w="5904"/>
            <w:tcMar>
              <w:top w:w="24" w:type="dxa"/>
              <w:bottom w:w="24" w:type="dxa"/>
              <w:left w:w="40" w:type="dxa"/>
              <w:right w:w="40" w:type="dxa"/>
            </w:tcMar>
          </w:tcPr>
          <w:p>
            <w:pPr>
              <w:jc w:val="left"/>
            </w:pPr>
            <w:r>
              <w:rPr>
                <w:rFonts w:ascii="Times New Roman" w:hAnsi="Times New Roman"/>
                <w:sz w:val="22"/>
              </w:rPr>
              <w:t>Summary of System Modules and Functional Responsibilities</w:t>
            </w:r>
          </w:p>
        </w:tc>
        <w:tc>
          <w:tcPr>
            <w:tcW w:type="dxa" w:w="1008"/>
            <w:tcMar>
              <w:top w:w="24" w:type="dxa"/>
              <w:bottom w:w="24" w:type="dxa"/>
              <w:left w:w="40" w:type="dxa"/>
              <w:right w:w="40" w:type="dxa"/>
            </w:tcMar>
          </w:tcPr>
          <w:p>
            <w:pPr>
              <w:jc w:val="right"/>
            </w:pPr>
            <w:r>
              <w:rPr>
                <w:rFonts w:ascii="Times New Roman" w:hAnsi="Times New Roman"/>
                <w:sz w:val="22"/>
              </w:rPr>
              <w:t>12</w:t>
            </w:r>
          </w:p>
        </w:tc>
      </w:tr>
    </w:tbl>
    <w:p>
      <w:r>
        <w:br w:type="page"/>
      </w:r>
    </w:p>
    <w:p>
      <w:pPr>
        <w:spacing w:before="280" w:after="280" w:line="276" w:lineRule="auto"/>
        <w:ind w:firstLine="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2880"/>
        <w:gridCol w:w="2880"/>
        <w:gridCol w:w="2880"/>
      </w:tblGrid>
      <w:tr>
        <w:tc>
          <w:tcPr>
            <w:tcW w:type="dxa" w:w="1728"/>
            <w:tcMar>
              <w:top w:w="18" w:type="dxa"/>
              <w:bottom w:w="18" w:type="dxa"/>
              <w:left w:w="40" w:type="dxa"/>
              <w:right w:w="40" w:type="dxa"/>
            </w:tcMar>
          </w:tcPr>
          <w:p>
            <w:pPr>
              <w:jc w:val="center"/>
            </w:pPr>
            <w:r>
              <w:rPr>
                <w:rFonts w:ascii="Times New Roman" w:hAnsi="Times New Roman"/>
                <w:b/>
                <w:sz w:val="22"/>
              </w:rPr>
              <w:t>FIGURE NO.</w:t>
            </w:r>
          </w:p>
        </w:tc>
        <w:tc>
          <w:tcPr>
            <w:tcW w:type="dxa" w:w="5904"/>
            <w:tcMar>
              <w:top w:w="18" w:type="dxa"/>
              <w:bottom w:w="18" w:type="dxa"/>
              <w:left w:w="40" w:type="dxa"/>
              <w:right w:w="40" w:type="dxa"/>
            </w:tcMar>
          </w:tcPr>
          <w:p>
            <w:pPr>
              <w:jc w:val="left"/>
            </w:pPr>
            <w:r>
              <w:rPr>
                <w:rFonts w:ascii="Times New Roman" w:hAnsi="Times New Roman"/>
                <w:b/>
                <w:sz w:val="22"/>
              </w:rPr>
              <w:t>FIGURE TITLE</w:t>
            </w:r>
          </w:p>
        </w:tc>
        <w:tc>
          <w:tcPr>
            <w:tcW w:type="dxa" w:w="1008"/>
            <w:tcMar>
              <w:top w:w="18" w:type="dxa"/>
              <w:bottom w:w="18" w:type="dxa"/>
              <w:left w:w="40" w:type="dxa"/>
              <w:right w:w="40" w:type="dxa"/>
            </w:tcMar>
          </w:tcPr>
          <w:p>
            <w:pPr>
              <w:jc w:val="right"/>
            </w:pPr>
            <w:r>
              <w:rPr>
                <w:rFonts w:ascii="Times New Roman" w:hAnsi="Times New Roman"/>
                <w:b/>
                <w:sz w:val="22"/>
              </w:rPr>
              <w:t>PAGE No.</w:t>
            </w:r>
          </w:p>
        </w:tc>
      </w:tr>
      <w:tr>
        <w:tc>
          <w:tcPr>
            <w:tcW w:type="dxa" w:w="1728"/>
            <w:tcMar>
              <w:top w:w="18" w:type="dxa"/>
              <w:bottom w:w="18" w:type="dxa"/>
              <w:left w:w="40" w:type="dxa"/>
              <w:right w:w="40" w:type="dxa"/>
            </w:tcMar>
          </w:tcPr>
          <w:p>
            <w:pPr>
              <w:jc w:val="center"/>
            </w:pPr>
            <w:r>
              <w:rPr>
                <w:rFonts w:ascii="Times New Roman" w:hAnsi="Times New Roman"/>
                <w:sz w:val="22"/>
              </w:rPr>
              <w:t>4.1</w:t>
            </w:r>
          </w:p>
        </w:tc>
        <w:tc>
          <w:tcPr>
            <w:tcW w:type="dxa" w:w="5904"/>
            <w:tcMar>
              <w:top w:w="18" w:type="dxa"/>
              <w:bottom w:w="18" w:type="dxa"/>
              <w:left w:w="40" w:type="dxa"/>
              <w:right w:w="40" w:type="dxa"/>
            </w:tcMar>
          </w:tcPr>
          <w:p>
            <w:pPr>
              <w:jc w:val="left"/>
            </w:pPr>
            <w:r>
              <w:rPr>
                <w:rFonts w:ascii="Times New Roman" w:hAnsi="Times New Roman"/>
                <w:sz w:val="22"/>
              </w:rPr>
              <w:t>Genomics Laboratory Sequencing Workflow -- System Architecture</w:t>
            </w:r>
          </w:p>
        </w:tc>
        <w:tc>
          <w:tcPr>
            <w:tcW w:type="dxa" w:w="1008"/>
            <w:tcMar>
              <w:top w:w="18" w:type="dxa"/>
              <w:bottom w:w="18" w:type="dxa"/>
              <w:left w:w="40" w:type="dxa"/>
              <w:right w:w="40" w:type="dxa"/>
            </w:tcMar>
          </w:tcPr>
          <w:p>
            <w:pPr>
              <w:jc w:val="right"/>
            </w:pPr>
            <w:r>
              <w:rPr>
                <w:rFonts w:ascii="Times New Roman" w:hAnsi="Times New Roman"/>
                <w:sz w:val="22"/>
              </w:rPr>
              <w:t>12</w:t>
            </w:r>
          </w:p>
        </w:tc>
      </w:tr>
      <w:tr>
        <w:tc>
          <w:tcPr>
            <w:tcW w:type="dxa" w:w="1728"/>
            <w:tcMar>
              <w:top w:w="18" w:type="dxa"/>
              <w:bottom w:w="18" w:type="dxa"/>
              <w:left w:w="40" w:type="dxa"/>
              <w:right w:w="40" w:type="dxa"/>
            </w:tcMar>
          </w:tcPr>
          <w:p>
            <w:pPr>
              <w:jc w:val="center"/>
            </w:pPr>
            <w:r>
              <w:rPr>
                <w:rFonts w:ascii="Times New Roman" w:hAnsi="Times New Roman"/>
                <w:sz w:val="22"/>
              </w:rPr>
              <w:t>4.2</w:t>
            </w:r>
          </w:p>
        </w:tc>
        <w:tc>
          <w:tcPr>
            <w:tcW w:type="dxa" w:w="5904"/>
            <w:tcMar>
              <w:top w:w="18" w:type="dxa"/>
              <w:bottom w:w="18" w:type="dxa"/>
              <w:left w:w="40" w:type="dxa"/>
              <w:right w:w="40" w:type="dxa"/>
            </w:tcMar>
          </w:tcPr>
          <w:p>
            <w:pPr>
              <w:jc w:val="left"/>
            </w:pPr>
            <w:r>
              <w:rPr>
                <w:rFonts w:ascii="Times New Roman" w:hAnsi="Times New Roman"/>
                <w:sz w:val="22"/>
              </w:rPr>
              <w:t>UML Class Diagram of Mongoose Models and Data Entities</w:t>
            </w:r>
          </w:p>
        </w:tc>
        <w:tc>
          <w:tcPr>
            <w:tcW w:type="dxa" w:w="1008"/>
            <w:tcMar>
              <w:top w:w="18" w:type="dxa"/>
              <w:bottom w:w="18" w:type="dxa"/>
              <w:left w:w="40" w:type="dxa"/>
              <w:right w:w="40" w:type="dxa"/>
            </w:tcMar>
          </w:tcPr>
          <w:p>
            <w:pPr>
              <w:jc w:val="right"/>
            </w:pPr>
            <w:r>
              <w:rPr>
                <w:rFonts w:ascii="Times New Roman" w:hAnsi="Times New Roman"/>
                <w:sz w:val="22"/>
              </w:rPr>
              <w:t>14</w:t>
            </w:r>
          </w:p>
        </w:tc>
      </w:tr>
      <w:tr>
        <w:tc>
          <w:tcPr>
            <w:tcW w:type="dxa" w:w="1728"/>
            <w:tcMar>
              <w:top w:w="18" w:type="dxa"/>
              <w:bottom w:w="18" w:type="dxa"/>
              <w:left w:w="40" w:type="dxa"/>
              <w:right w:w="40" w:type="dxa"/>
            </w:tcMar>
          </w:tcPr>
          <w:p>
            <w:pPr>
              <w:jc w:val="center"/>
            </w:pPr>
            <w:r>
              <w:rPr>
                <w:rFonts w:ascii="Times New Roman" w:hAnsi="Times New Roman"/>
                <w:sz w:val="22"/>
              </w:rPr>
              <w:t>4.3</w:t>
            </w:r>
          </w:p>
        </w:tc>
        <w:tc>
          <w:tcPr>
            <w:tcW w:type="dxa" w:w="5904"/>
            <w:tcMar>
              <w:top w:w="18" w:type="dxa"/>
              <w:bottom w:w="18" w:type="dxa"/>
              <w:left w:w="40" w:type="dxa"/>
              <w:right w:w="40" w:type="dxa"/>
            </w:tcMar>
          </w:tcPr>
          <w:p>
            <w:pPr>
              <w:jc w:val="left"/>
            </w:pPr>
            <w:r>
              <w:rPr>
                <w:rFonts w:ascii="Times New Roman" w:hAnsi="Times New Roman"/>
                <w:sz w:val="22"/>
              </w:rPr>
              <w:t>Sequence Diagram of Specimen Intake, QC Gating, and Flow Cell Batching</w:t>
            </w:r>
          </w:p>
        </w:tc>
        <w:tc>
          <w:tcPr>
            <w:tcW w:type="dxa" w:w="1008"/>
            <w:tcMar>
              <w:top w:w="18" w:type="dxa"/>
              <w:bottom w:w="18" w:type="dxa"/>
              <w:left w:w="40" w:type="dxa"/>
              <w:right w:w="40" w:type="dxa"/>
            </w:tcMar>
          </w:tcPr>
          <w:p>
            <w:pPr>
              <w:jc w:val="right"/>
            </w:pPr>
            <w:r>
              <w:rPr>
                <w:rFonts w:ascii="Times New Roman" w:hAnsi="Times New Roman"/>
                <w:sz w:val="22"/>
              </w:rPr>
              <w:t>15</w:t>
            </w:r>
          </w:p>
        </w:tc>
      </w:tr>
      <w:tr>
        <w:tc>
          <w:tcPr>
            <w:tcW w:type="dxa" w:w="1728"/>
            <w:tcMar>
              <w:top w:w="18" w:type="dxa"/>
              <w:bottom w:w="18" w:type="dxa"/>
              <w:left w:w="40" w:type="dxa"/>
              <w:right w:w="40" w:type="dxa"/>
            </w:tcMar>
          </w:tcPr>
          <w:p>
            <w:pPr>
              <w:jc w:val="center"/>
            </w:pPr>
            <w:r>
              <w:rPr>
                <w:rFonts w:ascii="Times New Roman" w:hAnsi="Times New Roman"/>
                <w:sz w:val="22"/>
              </w:rPr>
              <w:t>1</w:t>
            </w:r>
          </w:p>
        </w:tc>
        <w:tc>
          <w:tcPr>
            <w:tcW w:type="dxa" w:w="5904"/>
            <w:tcMar>
              <w:top w:w="18" w:type="dxa"/>
              <w:bottom w:w="18" w:type="dxa"/>
              <w:left w:w="40" w:type="dxa"/>
              <w:right w:w="40" w:type="dxa"/>
            </w:tcMar>
          </w:tcPr>
          <w:p>
            <w:pPr>
              <w:jc w:val="left"/>
            </w:pPr>
            <w:r>
              <w:rPr>
                <w:rFonts w:ascii="Times New Roman" w:hAnsi="Times New Roman"/>
                <w:sz w:val="22"/>
              </w:rPr>
              <w:t>User Login and Authentication Interface</w:t>
            </w:r>
          </w:p>
        </w:tc>
        <w:tc>
          <w:tcPr>
            <w:tcW w:type="dxa" w:w="1008"/>
            <w:tcMar>
              <w:top w:w="18" w:type="dxa"/>
              <w:bottom w:w="18" w:type="dxa"/>
              <w:left w:w="40" w:type="dxa"/>
              <w:right w:w="40" w:type="dxa"/>
            </w:tcMar>
          </w:tcPr>
          <w:p>
            <w:pPr>
              <w:jc w:val="right"/>
            </w:pPr>
            <w:r>
              <w:rPr>
                <w:rFonts w:ascii="Times New Roman" w:hAnsi="Times New Roman"/>
                <w:sz w:val="22"/>
              </w:rPr>
              <w:t>34</w:t>
            </w:r>
          </w:p>
        </w:tc>
      </w:tr>
      <w:tr>
        <w:tc>
          <w:tcPr>
            <w:tcW w:type="dxa" w:w="1728"/>
            <w:tcMar>
              <w:top w:w="18" w:type="dxa"/>
              <w:bottom w:w="18" w:type="dxa"/>
              <w:left w:w="40" w:type="dxa"/>
              <w:right w:w="40" w:type="dxa"/>
            </w:tcMar>
          </w:tcPr>
          <w:p>
            <w:pPr>
              <w:jc w:val="center"/>
            </w:pPr>
            <w:r>
              <w:rPr>
                <w:rFonts w:ascii="Times New Roman" w:hAnsi="Times New Roman"/>
                <w:sz w:val="22"/>
              </w:rPr>
              <w:t>2</w:t>
            </w:r>
          </w:p>
        </w:tc>
        <w:tc>
          <w:tcPr>
            <w:tcW w:type="dxa" w:w="5904"/>
            <w:tcMar>
              <w:top w:w="18" w:type="dxa"/>
              <w:bottom w:w="18" w:type="dxa"/>
              <w:left w:w="40" w:type="dxa"/>
              <w:right w:w="40" w:type="dxa"/>
            </w:tcMar>
          </w:tcPr>
          <w:p>
            <w:pPr>
              <w:jc w:val="left"/>
            </w:pPr>
            <w:r>
              <w:rPr>
                <w:rFonts w:ascii="Times New Roman" w:hAnsi="Times New Roman"/>
                <w:sz w:val="22"/>
              </w:rPr>
              <w:t>Laboratory Executive Dashboard with Real-Time Run Analytics</w:t>
            </w:r>
          </w:p>
        </w:tc>
        <w:tc>
          <w:tcPr>
            <w:tcW w:type="dxa" w:w="1008"/>
            <w:tcMar>
              <w:top w:w="18" w:type="dxa"/>
              <w:bottom w:w="18" w:type="dxa"/>
              <w:left w:w="40" w:type="dxa"/>
              <w:right w:w="40" w:type="dxa"/>
            </w:tcMar>
          </w:tcPr>
          <w:p>
            <w:pPr>
              <w:jc w:val="right"/>
            </w:pPr>
            <w:r>
              <w:rPr>
                <w:rFonts w:ascii="Times New Roman" w:hAnsi="Times New Roman"/>
                <w:sz w:val="22"/>
              </w:rPr>
              <w:t>35</w:t>
            </w:r>
          </w:p>
        </w:tc>
      </w:tr>
      <w:tr>
        <w:tc>
          <w:tcPr>
            <w:tcW w:type="dxa" w:w="1728"/>
            <w:tcMar>
              <w:top w:w="18" w:type="dxa"/>
              <w:bottom w:w="18" w:type="dxa"/>
              <w:left w:w="40" w:type="dxa"/>
              <w:right w:w="40" w:type="dxa"/>
            </w:tcMar>
          </w:tcPr>
          <w:p>
            <w:pPr>
              <w:jc w:val="center"/>
            </w:pPr>
            <w:r>
              <w:rPr>
                <w:rFonts w:ascii="Times New Roman" w:hAnsi="Times New Roman"/>
                <w:sz w:val="22"/>
              </w:rPr>
              <w:t>3</w:t>
            </w:r>
          </w:p>
        </w:tc>
        <w:tc>
          <w:tcPr>
            <w:tcW w:type="dxa" w:w="5904"/>
            <w:tcMar>
              <w:top w:w="18" w:type="dxa"/>
              <w:bottom w:w="18" w:type="dxa"/>
              <w:left w:w="40" w:type="dxa"/>
              <w:right w:w="40" w:type="dxa"/>
            </w:tcMar>
          </w:tcPr>
          <w:p>
            <w:pPr>
              <w:jc w:val="left"/>
            </w:pPr>
            <w:r>
              <w:rPr>
                <w:rFonts w:ascii="Times New Roman" w:hAnsi="Times New Roman"/>
                <w:sz w:val="22"/>
              </w:rPr>
              <w:t>Clinical Requisition and Specimen Intake Form</w:t>
            </w:r>
          </w:p>
        </w:tc>
        <w:tc>
          <w:tcPr>
            <w:tcW w:type="dxa" w:w="1008"/>
            <w:tcMar>
              <w:top w:w="18" w:type="dxa"/>
              <w:bottom w:w="18" w:type="dxa"/>
              <w:left w:w="40" w:type="dxa"/>
              <w:right w:w="40" w:type="dxa"/>
            </w:tcMar>
          </w:tcPr>
          <w:p>
            <w:pPr>
              <w:jc w:val="right"/>
            </w:pPr>
            <w:r>
              <w:rPr>
                <w:rFonts w:ascii="Times New Roman" w:hAnsi="Times New Roman"/>
                <w:sz w:val="22"/>
              </w:rPr>
              <w:t>35</w:t>
            </w:r>
          </w:p>
        </w:tc>
      </w:tr>
      <w:tr>
        <w:tc>
          <w:tcPr>
            <w:tcW w:type="dxa" w:w="1728"/>
            <w:tcMar>
              <w:top w:w="18" w:type="dxa"/>
              <w:bottom w:w="18" w:type="dxa"/>
              <w:left w:w="40" w:type="dxa"/>
              <w:right w:w="40" w:type="dxa"/>
            </w:tcMar>
          </w:tcPr>
          <w:p>
            <w:pPr>
              <w:jc w:val="center"/>
            </w:pPr>
            <w:r>
              <w:rPr>
                <w:rFonts w:ascii="Times New Roman" w:hAnsi="Times New Roman"/>
                <w:sz w:val="22"/>
              </w:rPr>
              <w:t>4</w:t>
            </w:r>
          </w:p>
        </w:tc>
        <w:tc>
          <w:tcPr>
            <w:tcW w:type="dxa" w:w="5904"/>
            <w:tcMar>
              <w:top w:w="18" w:type="dxa"/>
              <w:bottom w:w="18" w:type="dxa"/>
              <w:left w:w="40" w:type="dxa"/>
              <w:right w:w="40" w:type="dxa"/>
            </w:tcMar>
          </w:tcPr>
          <w:p>
            <w:pPr>
              <w:jc w:val="left"/>
            </w:pPr>
            <w:r>
              <w:rPr>
                <w:rFonts w:ascii="Times New Roman" w:hAnsi="Times New Roman"/>
                <w:sz w:val="22"/>
              </w:rPr>
              <w:t>Specimen Milestone Tracking and Flow Cell Batch Management</w:t>
            </w:r>
          </w:p>
        </w:tc>
        <w:tc>
          <w:tcPr>
            <w:tcW w:type="dxa" w:w="1008"/>
            <w:tcMar>
              <w:top w:w="18" w:type="dxa"/>
              <w:bottom w:w="18" w:type="dxa"/>
              <w:left w:w="40" w:type="dxa"/>
              <w:right w:w="40" w:type="dxa"/>
            </w:tcMar>
          </w:tcPr>
          <w:p>
            <w:pPr>
              <w:jc w:val="right"/>
            </w:pPr>
            <w:r>
              <w:rPr>
                <w:rFonts w:ascii="Times New Roman" w:hAnsi="Times New Roman"/>
                <w:sz w:val="22"/>
              </w:rPr>
              <w:t>36</w:t>
            </w:r>
          </w:p>
        </w:tc>
      </w:tr>
      <w:tr>
        <w:tc>
          <w:tcPr>
            <w:tcW w:type="dxa" w:w="1728"/>
            <w:tcMar>
              <w:top w:w="18" w:type="dxa"/>
              <w:bottom w:w="18" w:type="dxa"/>
              <w:left w:w="40" w:type="dxa"/>
              <w:right w:w="40" w:type="dxa"/>
            </w:tcMar>
          </w:tcPr>
          <w:p>
            <w:pPr>
              <w:jc w:val="center"/>
            </w:pPr>
            <w:r>
              <w:rPr>
                <w:rFonts w:ascii="Times New Roman" w:hAnsi="Times New Roman"/>
                <w:sz w:val="22"/>
              </w:rPr>
              <w:t>5</w:t>
            </w:r>
          </w:p>
        </w:tc>
        <w:tc>
          <w:tcPr>
            <w:tcW w:type="dxa" w:w="5904"/>
            <w:tcMar>
              <w:top w:w="18" w:type="dxa"/>
              <w:bottom w:w="18" w:type="dxa"/>
              <w:left w:w="40" w:type="dxa"/>
              <w:right w:w="40" w:type="dxa"/>
            </w:tcMar>
          </w:tcPr>
          <w:p>
            <w:pPr>
              <w:jc w:val="left"/>
            </w:pPr>
            <w:r>
              <w:rPr>
                <w:rFonts w:ascii="Times New Roman" w:hAnsi="Times New Roman"/>
                <w:sz w:val="22"/>
              </w:rPr>
              <w:t>Multi-Channel Quality Control and TapeStation Telemetry Ingestion</w:t>
            </w:r>
          </w:p>
        </w:tc>
        <w:tc>
          <w:tcPr>
            <w:tcW w:type="dxa" w:w="1008"/>
            <w:tcMar>
              <w:top w:w="18" w:type="dxa"/>
              <w:bottom w:w="18" w:type="dxa"/>
              <w:left w:w="40" w:type="dxa"/>
              <w:right w:w="40" w:type="dxa"/>
            </w:tcMar>
          </w:tcPr>
          <w:p>
            <w:pPr>
              <w:jc w:val="right"/>
            </w:pPr>
            <w:r>
              <w:rPr>
                <w:rFonts w:ascii="Times New Roman" w:hAnsi="Times New Roman"/>
                <w:sz w:val="22"/>
              </w:rPr>
              <w:t>36</w:t>
            </w:r>
          </w:p>
        </w:tc>
      </w:tr>
      <w:tr>
        <w:tc>
          <w:tcPr>
            <w:tcW w:type="dxa" w:w="1728"/>
            <w:tcMar>
              <w:top w:w="18" w:type="dxa"/>
              <w:bottom w:w="18" w:type="dxa"/>
              <w:left w:w="40" w:type="dxa"/>
              <w:right w:w="40" w:type="dxa"/>
            </w:tcMar>
          </w:tcPr>
          <w:p>
            <w:pPr>
              <w:jc w:val="center"/>
            </w:pPr>
            <w:r>
              <w:rPr>
                <w:rFonts w:ascii="Times New Roman" w:hAnsi="Times New Roman"/>
                <w:sz w:val="22"/>
              </w:rPr>
              <w:t>6</w:t>
            </w:r>
          </w:p>
        </w:tc>
        <w:tc>
          <w:tcPr>
            <w:tcW w:type="dxa" w:w="5904"/>
            <w:tcMar>
              <w:top w:w="18" w:type="dxa"/>
              <w:bottom w:w="18" w:type="dxa"/>
              <w:left w:w="40" w:type="dxa"/>
              <w:right w:w="40" w:type="dxa"/>
            </w:tcMar>
          </w:tcPr>
          <w:p>
            <w:pPr>
              <w:jc w:val="left"/>
            </w:pPr>
            <w:r>
              <w:rPr>
                <w:rFonts w:ascii="Times New Roman" w:hAnsi="Times New Roman"/>
                <w:sz w:val="22"/>
              </w:rPr>
              <w:t>Sequencing Run Batching and Illumina Flow Cell Allocation</w:t>
            </w:r>
          </w:p>
        </w:tc>
        <w:tc>
          <w:tcPr>
            <w:tcW w:type="dxa" w:w="1008"/>
            <w:tcMar>
              <w:top w:w="18" w:type="dxa"/>
              <w:bottom w:w="18" w:type="dxa"/>
              <w:left w:w="40" w:type="dxa"/>
              <w:right w:w="40" w:type="dxa"/>
            </w:tcMar>
          </w:tcPr>
          <w:p>
            <w:pPr>
              <w:jc w:val="right"/>
            </w:pPr>
            <w:r>
              <w:rPr>
                <w:rFonts w:ascii="Times New Roman" w:hAnsi="Times New Roman"/>
                <w:sz w:val="22"/>
              </w:rPr>
              <w:t>37</w:t>
            </w:r>
          </w:p>
        </w:tc>
      </w:tr>
      <w:tr>
        <w:tc>
          <w:tcPr>
            <w:tcW w:type="dxa" w:w="1728"/>
            <w:tcMar>
              <w:top w:w="18" w:type="dxa"/>
              <w:bottom w:w="18" w:type="dxa"/>
              <w:left w:w="40" w:type="dxa"/>
              <w:right w:w="40" w:type="dxa"/>
            </w:tcMar>
          </w:tcPr>
          <w:p>
            <w:pPr>
              <w:jc w:val="center"/>
            </w:pPr>
            <w:r>
              <w:rPr>
                <w:rFonts w:ascii="Times New Roman" w:hAnsi="Times New Roman"/>
                <w:sz w:val="22"/>
              </w:rPr>
              <w:t>7</w:t>
            </w:r>
          </w:p>
        </w:tc>
        <w:tc>
          <w:tcPr>
            <w:tcW w:type="dxa" w:w="5904"/>
            <w:tcMar>
              <w:top w:w="18" w:type="dxa"/>
              <w:bottom w:w="18" w:type="dxa"/>
              <w:left w:w="40" w:type="dxa"/>
              <w:right w:w="40" w:type="dxa"/>
            </w:tcMar>
          </w:tcPr>
          <w:p>
            <w:pPr>
              <w:jc w:val="left"/>
            </w:pPr>
            <w:r>
              <w:rPr>
                <w:rFonts w:ascii="Times New Roman" w:hAnsi="Times New Roman"/>
                <w:sz w:val="22"/>
              </w:rPr>
              <w:t>Diagnostic Traceability, Variant Review, and Audit Verification</w:t>
            </w:r>
          </w:p>
        </w:tc>
        <w:tc>
          <w:tcPr>
            <w:tcW w:type="dxa" w:w="1008"/>
            <w:tcMar>
              <w:top w:w="18" w:type="dxa"/>
              <w:bottom w:w="18" w:type="dxa"/>
              <w:left w:w="40" w:type="dxa"/>
              <w:right w:w="40" w:type="dxa"/>
            </w:tcMar>
          </w:tcPr>
          <w:p>
            <w:pPr>
              <w:jc w:val="right"/>
            </w:pPr>
            <w:r>
              <w:rPr>
                <w:rFonts w:ascii="Times New Roman" w:hAnsi="Times New Roman"/>
                <w:sz w:val="22"/>
              </w:rPr>
              <w:t>37</w:t>
            </w:r>
          </w:p>
        </w:tc>
      </w:tr>
      <w:tr>
        <w:tc>
          <w:tcPr>
            <w:tcW w:type="dxa" w:w="1728"/>
            <w:tcMar>
              <w:top w:w="18" w:type="dxa"/>
              <w:bottom w:w="18" w:type="dxa"/>
              <w:left w:w="40" w:type="dxa"/>
              <w:right w:w="40" w:type="dxa"/>
            </w:tcMar>
          </w:tcPr>
          <w:p>
            <w:pPr>
              <w:jc w:val="center"/>
            </w:pPr>
            <w:r>
              <w:rPr>
                <w:rFonts w:ascii="Times New Roman" w:hAnsi="Times New Roman"/>
                <w:sz w:val="22"/>
              </w:rPr>
              <w:t>8</w:t>
            </w:r>
          </w:p>
        </w:tc>
        <w:tc>
          <w:tcPr>
            <w:tcW w:type="dxa" w:w="5904"/>
            <w:tcMar>
              <w:top w:w="18" w:type="dxa"/>
              <w:bottom w:w="18" w:type="dxa"/>
              <w:left w:w="40" w:type="dxa"/>
              <w:right w:w="40" w:type="dxa"/>
            </w:tcMar>
          </w:tcPr>
          <w:p>
            <w:pPr>
              <w:jc w:val="left"/>
            </w:pPr>
            <w:r>
              <w:rPr>
                <w:rFonts w:ascii="Times New Roman" w:hAnsi="Times New Roman"/>
                <w:sz w:val="22"/>
              </w:rPr>
              <w:t>Clinical Report Delivery and HL7 FHIR Interoperability</w:t>
            </w:r>
          </w:p>
        </w:tc>
        <w:tc>
          <w:tcPr>
            <w:tcW w:type="dxa" w:w="1008"/>
            <w:tcMar>
              <w:top w:w="18" w:type="dxa"/>
              <w:bottom w:w="18" w:type="dxa"/>
              <w:left w:w="40" w:type="dxa"/>
              <w:right w:w="40" w:type="dxa"/>
            </w:tcMar>
          </w:tcPr>
          <w:p>
            <w:pPr>
              <w:jc w:val="right"/>
            </w:pPr>
            <w:r>
              <w:rPr>
                <w:rFonts w:ascii="Times New Roman" w:hAnsi="Times New Roman"/>
                <w:sz w:val="22"/>
              </w:rPr>
              <w:t>38</w:t>
            </w:r>
          </w:p>
        </w:tc>
      </w:tr>
    </w:tbl>
    <w:p>
      <w:pPr>
        <w:sectPr>
          <w:footerReference w:type="default" r:id="rId12"/>
          <w:pgSz w:w="12240" w:h="15840"/>
          <w:pgMar w:top="1440" w:right="1800" w:bottom="1440" w:left="1800" w:header="720" w:footer="720" w:gutter="0"/>
          <w:cols w:space="720"/>
          <w:docGrid w:linePitch="360"/>
          <w:pgNumType w:fmt="lowerRoman" w:start="1"/>
        </w:sectPr>
      </w:pPr>
    </w:p>
    <w:p>
      <w:pPr>
        <w:spacing w:before="240" w:after="80" w:line="276" w:lineRule="auto"/>
        <w:ind w:firstLine="0"/>
        <w:jc w:val="center"/>
      </w:pPr>
      <w:r>
        <w:rPr>
          <w:rFonts w:ascii="Times New Roman" w:hAnsi="Times New Roman"/>
          <w:b/>
          <w:sz w:val="32"/>
        </w:rPr>
        <w:t>CHAPTER 1</w:t>
      </w:r>
    </w:p>
    <w:p>
      <w:pPr>
        <w:spacing w:before="0" w:after="200" w:line="276" w:lineRule="auto"/>
        <w:ind w:firstLine="0"/>
        <w:jc w:val="center"/>
      </w:pPr>
      <w:r>
        <w:rPr>
          <w:rFonts w:ascii="Times New Roman" w:hAnsi="Times New Roman"/>
          <w:b/>
          <w:sz w:val="32"/>
        </w:rPr>
        <w:t>INTRODUCTION</w:t>
      </w:r>
    </w:p>
    <w:p>
      <w:pPr>
        <w:spacing w:before="0" w:after="160" w:line="276" w:lineRule="auto"/>
        <w:ind w:firstLine="720"/>
        <w:jc w:val="both"/>
      </w:pPr>
      <w:r>
        <w:rPr>
          <w:rFonts w:ascii="Times New Roman" w:hAnsi="Times New Roman"/>
          <w:b w:val="0"/>
          <w:i w:val="0"/>
          <w:sz w:val="24"/>
        </w:rPr>
        <w:t>This chapter deals with the overview of the Genomics Laboratory Sequencing Workflow Management System, its problem definition, objectives, scope, and the motivation behind developing this platform.</w:t>
      </w:r>
    </w:p>
    <w:p>
      <w:pPr>
        <w:spacing w:before="200" w:after="80" w:line="276" w:lineRule="auto"/>
        <w:ind w:firstLine="0"/>
        <w:jc w:val="left"/>
      </w:pPr>
      <w:r>
        <w:rPr>
          <w:rFonts w:ascii="Times New Roman" w:hAnsi="Times New Roman"/>
          <w:b/>
          <w:sz w:val="28"/>
        </w:rPr>
        <w:t>1.1 OVERVIEW</w:t>
      </w:r>
    </w:p>
    <w:p>
      <w:pPr>
        <w:spacing w:before="0" w:after="120" w:line="276" w:lineRule="auto"/>
        <w:ind w:firstLine="720"/>
        <w:jc w:val="both"/>
      </w:pPr>
      <w:r>
        <w:rPr>
          <w:rFonts w:ascii="Times New Roman" w:hAnsi="Times New Roman"/>
          <w:b w:val="0"/>
          <w:i w:val="0"/>
          <w:sz w:val="24"/>
        </w:rPr>
        <w:t>The clinical genomics and molecular diagnostics sector has witnessed exponential growth over the past decade, driven by the rise of precision medicine, Next-Generation Sequencing (NGS), and the increasing demand for high-throughput somatic mutation profiling in oncology. Commercial sequencers such as Illumina NovaSeq and NextSeq process hundreds of patient libraries simultaneously. However, diagnostic laboratories suffer from significant operational inefficiencies in pre-analytical accessioning, disparate quality control (QC) instrument outputs, and non-deterministic workflow handoffs, leading to suboptimal turnaround times for patient therapy selection.</w:t>
      </w:r>
    </w:p>
    <w:p>
      <w:pPr>
        <w:spacing w:before="0" w:after="120" w:line="276" w:lineRule="auto"/>
        <w:ind w:firstLine="720"/>
        <w:jc w:val="both"/>
      </w:pPr>
      <w:r>
        <w:rPr>
          <w:rFonts w:ascii="Times New Roman" w:hAnsi="Times New Roman"/>
          <w:b w:val="0"/>
          <w:i w:val="0"/>
          <w:sz w:val="24"/>
        </w:rPr>
        <w:t>The Genomics Laboratory Sequencing Workflow Management System addresses these limitations by introducing an intelligent, centralized platform that automates specimen tracking, microfluidic telemetry parsing, and dual-index multiplex batching. The system integrates real-time state broadcasting powered by WebSockets, structured milestone tracking across 6 clinical stages, and standardized HL7 FHIR Genomics JSON serialization for seamless electronic health record (EHR) interoperability. The platform is built using a modern, scalable technology stack comprising React with Vite for the frontend, Node.js with Express for the backend, MongoDB for document storage, Socket.IO for real-time telemetry events, and cryptographic audit trail logging.</w:t>
      </w:r>
    </w:p>
    <w:p>
      <w:pPr>
        <w:spacing w:before="0" w:after="120" w:line="276" w:lineRule="auto"/>
        <w:ind w:firstLine="720"/>
        <w:jc w:val="both"/>
      </w:pPr>
      <w:r>
        <w:rPr>
          <w:rFonts w:ascii="Times New Roman" w:hAnsi="Times New Roman"/>
          <w:b w:val="0"/>
          <w:i w:val="0"/>
          <w:sz w:val="24"/>
        </w:rPr>
        <w:t>By combining automated QC gating with immutable audit trails, the platform aims to reduce diagnostic turnaround time by 48 percent while eliminating specimen mix-ups and transcription errors. The architecture is designed to handle concurrent clinical users and real-time instrument telemetry feeds, making it suitable for production hospital deployments. JWT-based middleware manages authentication and role-based access control, ensuring a secure and performant experience for all laboratory personnel.</w:t>
      </w:r>
    </w:p>
    <w:p>
      <w:pPr>
        <w:spacing w:before="0" w:after="0" w:line="276" w:lineRule="auto"/>
        <w:ind w:firstLine="720"/>
        <w:jc w:val="both"/>
      </w:pPr>
      <w:r>
        <w:rPr>
          <w:rFonts w:ascii="Times New Roman" w:hAnsi="Times New Roman"/>
          <w:b w:val="0"/>
          <w:i w:val="0"/>
          <w:sz w:val="24"/>
        </w:rPr>
        <w:t>The platform serves molecular biologists, bioinformaticians, pathologists, and laboratory directors seeking zero-defect chain of custody. Smart quality gating is executed using automated TapeStation DIN and Qubit fluorometric telemetry ingestion, replacing manual spreadsheet tracking.</w:t>
      </w:r>
    </w:p>
    <w:p>
      <w:r>
        <w:br w:type="page"/>
      </w:r>
    </w:p>
    <w:p>
      <w:pPr>
        <w:spacing w:before="0" w:after="120" w:line="276" w:lineRule="auto"/>
        <w:ind w:firstLine="720"/>
        <w:jc w:val="both"/>
      </w:pPr>
      <w:r>
        <w:rPr>
          <w:rFonts w:ascii="Times New Roman" w:hAnsi="Times New Roman"/>
          <w:b w:val="0"/>
          <w:i w:val="0"/>
          <w:sz w:val="24"/>
        </w:rPr>
        <w:t>automated telemetry parsing and multi-factor validation techniques that analyze nucleic acid integrity, sample purity, and historical run performance data. This eliminates the manual, error-prone spreadsheet review that plagues existing laboratory platforms.</w:t>
      </w:r>
    </w:p>
    <w:p>
      <w:pPr>
        <w:spacing w:before="0" w:after="200" w:line="276" w:lineRule="auto"/>
        <w:ind w:firstLine="720"/>
        <w:jc w:val="both"/>
      </w:pPr>
      <w:r>
        <w:rPr>
          <w:rFonts w:ascii="Times New Roman" w:hAnsi="Times New Roman"/>
          <w:b w:val="0"/>
          <w:i w:val="0"/>
          <w:sz w:val="24"/>
        </w:rPr>
        <w:t>The platform also introduces milestone-based sample tracking through an immutable audit trail, where specimens advance only upon verified milestone completion. This mechanism significantly reduces sample rejection rates and builds trust between clinicians and laboratory staff. The combination of automated QC parsing, real-time collaboration, and regulatory compliance creates a comprehensive ecosystem for successful genomic workflows.</w:t>
      </w:r>
    </w:p>
    <w:p>
      <w:pPr>
        <w:spacing w:before="200" w:after="80" w:line="276" w:lineRule="auto"/>
        <w:ind w:firstLine="0"/>
        <w:jc w:val="left"/>
      </w:pPr>
      <w:r>
        <w:rPr>
          <w:rFonts w:ascii="Times New Roman" w:hAnsi="Times New Roman"/>
          <w:b/>
          <w:sz w:val="28"/>
        </w:rPr>
        <w:t>1.2 PROBLEM DEFINITION</w:t>
      </w:r>
    </w:p>
    <w:p>
      <w:pPr>
        <w:spacing w:before="0" w:after="120" w:line="276" w:lineRule="auto"/>
        <w:ind w:firstLine="720"/>
        <w:jc w:val="both"/>
      </w:pPr>
      <w:r>
        <w:rPr>
          <w:rFonts w:ascii="Times New Roman" w:hAnsi="Times New Roman"/>
          <w:b w:val="0"/>
          <w:i w:val="0"/>
          <w:sz w:val="24"/>
        </w:rPr>
        <w:t>Clinical personnel on existing laboratory platforms are overwhelmed by hundreds of manual data entry steps for every sequencing run. The lack of automated telemetry ingestion and intelligent sample tracking forces technicians to manually review and transcribe QC results, consuming significant time and effort. This inefficiency is compounded by the absence of standardized quality indicators, making it difficult to distinguish between genuinely high-integrity libraries and degraded specimens.</w:t>
      </w:r>
    </w:p>
    <w:p>
      <w:pPr>
        <w:spacing w:before="0" w:after="120" w:line="276" w:lineRule="auto"/>
        <w:ind w:firstLine="720"/>
        <w:jc w:val="both"/>
      </w:pPr>
      <w:r>
        <w:rPr>
          <w:rFonts w:ascii="Times New Roman" w:hAnsi="Times New Roman"/>
          <w:b w:val="0"/>
          <w:i w:val="0"/>
          <w:sz w:val="24"/>
        </w:rPr>
        <w:t>Simultaneously, urgent oncology samples struggle to maintain rapid turnaround times on crowded sequencing queues where static spreadsheet tracking dominates. Critical diagnostic specimens are often delayed behind routine research pools, leading to prolonged turnaround times that delay targeted cancer therapy initiation. This creates a frustrating experience where patient outcomes are compromised by laboratory bottlenecks.</w:t>
      </w:r>
    </w:p>
    <w:p>
      <w:pPr>
        <w:spacing w:before="0" w:after="120" w:line="276" w:lineRule="auto"/>
        <w:ind w:firstLine="720"/>
        <w:jc w:val="both"/>
      </w:pPr>
      <w:r>
        <w:rPr>
          <w:rFonts w:ascii="Times New Roman" w:hAnsi="Times New Roman"/>
          <w:b w:val="0"/>
          <w:i w:val="0"/>
          <w:sz w:val="24"/>
        </w:rPr>
        <w:t>The absence of integrated laboratory tracking tools forces clinical teams to rely on external spreadsheets, email threads, and paper logs for communication, file sharing, and progress monitoring. This fragmentation leads to miscommunication, sample mix-ups, and run failures. Milestone definitions are often ambiguous, and there is no automated system to verify sequencing readiness against agreed-upon criteria.</w:t>
      </w:r>
    </w:p>
    <w:p>
      <w:pPr>
        <w:spacing w:before="0" w:after="0" w:line="276" w:lineRule="auto"/>
        <w:ind w:firstLine="720"/>
        <w:jc w:val="both"/>
      </w:pPr>
      <w:r>
        <w:rPr>
          <w:rFonts w:ascii="Times New Roman" w:hAnsi="Times New Roman"/>
          <w:b w:val="0"/>
          <w:i w:val="0"/>
          <w:sz w:val="24"/>
        </w:rPr>
        <w:t>Compliance tracking represents another critical challenge in molecular diagnostics. Without tamper-evident audit trails compliant with ISO 15189:2022 and FDA 21 CFR Part 11, laboratories risk regulatory citations and compromised data integrity. The lack of a structured, automated audit mechanism further erodes trust and discourages seamless accreditation.</w:t>
      </w:r>
    </w:p>
    <w:p>
      <w:r>
        <w:br w:type="page"/>
      </w:r>
    </w:p>
    <w:p>
      <w:pPr>
        <w:spacing w:before="0" w:after="200" w:line="276" w:lineRule="auto"/>
        <w:ind w:firstLine="720"/>
        <w:jc w:val="both"/>
      </w:pPr>
      <w:r>
        <w:rPr>
          <w:rFonts w:ascii="Times New Roman" w:hAnsi="Times New Roman"/>
          <w:b w:val="0"/>
          <w:i w:val="0"/>
          <w:sz w:val="24"/>
        </w:rPr>
        <w:t>Therefore, there is a pressing need for a software-based Genomics LIMS that provides automated instrument telemetry parsing, integrated real-time collaboration tools, structured milestone tracking, and standardized HL7 FHIR report generation. Such a platform would significantly reduce turnaround times and ensure successful diagnostic outcomes for all patients.</w:t>
      </w:r>
    </w:p>
    <w:p>
      <w:pPr>
        <w:spacing w:before="200" w:after="80" w:line="276" w:lineRule="auto"/>
        <w:ind w:firstLine="0"/>
        <w:jc w:val="left"/>
      </w:pPr>
      <w:r>
        <w:rPr>
          <w:rFonts w:ascii="Times New Roman" w:hAnsi="Times New Roman"/>
          <w:b/>
          <w:sz w:val="28"/>
        </w:rPr>
        <w:t>1.3 OBJECTIVE</w:t>
      </w:r>
    </w:p>
    <w:p>
      <w:pPr>
        <w:spacing w:before="0" w:after="120" w:line="276" w:lineRule="auto"/>
        <w:ind w:firstLine="720"/>
        <w:jc w:val="both"/>
      </w:pPr>
      <w:r>
        <w:rPr>
          <w:rFonts w:ascii="Times New Roman" w:hAnsi="Times New Roman"/>
          <w:b w:val="0"/>
          <w:i w:val="0"/>
          <w:sz w:val="24"/>
        </w:rPr>
        <w:t>The primary objective of this project is to design and develop an automated quality control parsing engine that intelligently evaluates nucleic acid integrity based on DIN, RIN, concentration levels, and historical performance metrics. The parsing algorithm extracts tabular telemetry from Agilent TapeStation and Qubit fluorometer files, evaluating metric thresholds to ensure only qualified libraries advance to sequencing execution.</w:t>
      </w:r>
    </w:p>
    <w:p>
      <w:pPr>
        <w:spacing w:before="0" w:after="120" w:line="276" w:lineRule="auto"/>
        <w:ind w:firstLine="720"/>
        <w:jc w:val="both"/>
      </w:pPr>
      <w:r>
        <w:rPr>
          <w:rFonts w:ascii="Times New Roman" w:hAnsi="Times New Roman"/>
          <w:b w:val="0"/>
          <w:i w:val="0"/>
          <w:sz w:val="24"/>
        </w:rPr>
        <w:t>The second objective is to develop an integrated real-time notification and tracking system using WebSocket technology. This system enables instant communication between laboratory staff, alerts technicians of QC failures, and maintains a complete event history linked to specific specimen milestones. The goal is to eliminate the need for external communication tools and centralize all workflow interactions within the platform.</w:t>
      </w:r>
    </w:p>
    <w:p>
      <w:pPr>
        <w:spacing w:before="0" w:after="120" w:line="276" w:lineRule="auto"/>
        <w:ind w:firstLine="720"/>
        <w:jc w:val="both"/>
      </w:pPr>
      <w:r>
        <w:rPr>
          <w:rFonts w:ascii="Times New Roman" w:hAnsi="Times New Roman"/>
          <w:b w:val="0"/>
          <w:i w:val="0"/>
          <w:sz w:val="24"/>
        </w:rPr>
        <w:t>The third objective focuses on implementing a comprehensive milestone-based specimen tracking system. This module allows technicians and bioinformaticians to monitor 6 deterministic stages: Accessioned, Library Prep, Sequencing Execution, Bioinformatic Analysis, Clinical Review, and Signed Out. Automated progress monitoring tracks milestone completion and triggers notifications, ensuring transparency and accountability.</w:t>
      </w:r>
    </w:p>
    <w:p>
      <w:pPr>
        <w:spacing w:before="0" w:after="120" w:line="276" w:lineRule="auto"/>
        <w:ind w:firstLine="720"/>
        <w:jc w:val="both"/>
      </w:pPr>
      <w:r>
        <w:rPr>
          <w:rFonts w:ascii="Times New Roman" w:hAnsi="Times New Roman"/>
          <w:b w:val="0"/>
          <w:i w:val="0"/>
          <w:sz w:val="24"/>
        </w:rPr>
        <w:t>The fourth objective involves creating an intelligent flow cell batching optimizer that multiplexes dual-indexed patient libraries onto Illumina NovaSeq (SP, S1, S2) flow cells while performing automated collision checks on i5/i7 adapter sequences. This mechanism eliminates index transposition errors and maximizes flow cell throughput efficiency.</w:t>
      </w:r>
    </w:p>
    <w:p>
      <w:pPr>
        <w:spacing w:before="0" w:after="0" w:line="276" w:lineRule="auto"/>
        <w:ind w:firstLine="720"/>
        <w:jc w:val="both"/>
      </w:pPr>
      <w:r>
        <w:rPr>
          <w:rFonts w:ascii="Times New Roman" w:hAnsi="Times New Roman"/>
          <w:b w:val="0"/>
          <w:i w:val="0"/>
          <w:sz w:val="24"/>
        </w:rPr>
        <w:t>The fifth objective is to design an HL7 FHIR Genomics serialization engine that exports clinical diagnostic reports as standard JSON bundles. Reports encapsulate somatic variant classifications (AMP/ASCO/CAP Tiers I-IV) and pathogenic HGVS nomenclature, enabling direct electronic health record ingestion.</w:t>
      </w:r>
    </w:p>
    <w:p>
      <w:r>
        <w:br w:type="page"/>
      </w:r>
    </w:p>
    <w:p>
      <w:pPr>
        <w:spacing w:before="0" w:after="200" w:line="276" w:lineRule="auto"/>
        <w:ind w:firstLine="720"/>
        <w:jc w:val="both"/>
      </w:pPr>
      <w:r>
        <w:rPr>
          <w:rFonts w:ascii="Times New Roman" w:hAnsi="Times New Roman"/>
          <w:b w:val="0"/>
          <w:i w:val="0"/>
          <w:sz w:val="24"/>
        </w:rPr>
        <w:t>along with cryptographic SHA-256 audit trails and role-based permissions to guarantee regulatory compliance under ISO 15189 and 21 CFR Part 11.</w:t>
      </w:r>
    </w:p>
    <w:p>
      <w:pPr>
        <w:spacing w:before="200" w:after="80" w:line="276" w:lineRule="auto"/>
        <w:ind w:firstLine="0"/>
        <w:jc w:val="left"/>
      </w:pPr>
      <w:r>
        <w:rPr>
          <w:rFonts w:ascii="Times New Roman" w:hAnsi="Times New Roman"/>
          <w:b/>
          <w:sz w:val="28"/>
        </w:rPr>
        <w:t>1.4 SCOPE OF THE PROJECT</w:t>
      </w:r>
    </w:p>
    <w:p>
      <w:pPr>
        <w:spacing w:before="0" w:after="120" w:line="276" w:lineRule="auto"/>
        <w:ind w:firstLine="720"/>
        <w:jc w:val="both"/>
      </w:pPr>
      <w:r>
        <w:rPr>
          <w:rFonts w:ascii="Times New Roman" w:hAnsi="Times New Roman"/>
          <w:b w:val="0"/>
          <w:i w:val="0"/>
          <w:sz w:val="24"/>
        </w:rPr>
        <w:t>The platform targets molecular diagnostic laboratories, hospital pathology core facilities, and contract clinical research organizations operating in oncology, rare disease genetics, and precision therapeutics. It supports workflow-based operations ranging from individual STAT biopsy specimens to high-throughput multi-flow cell production runs, accommodating diverse sequencing panels including targeted hotspot panels, whole-exome sequencing, and comprehensive genomic profiling.</w:t>
      </w:r>
    </w:p>
    <w:p>
      <w:pPr>
        <w:spacing w:before="0" w:after="120" w:line="276" w:lineRule="auto"/>
        <w:ind w:firstLine="720"/>
        <w:jc w:val="both"/>
      </w:pPr>
      <w:r>
        <w:rPr>
          <w:rFonts w:ascii="Times New Roman" w:hAnsi="Times New Roman"/>
          <w:b w:val="0"/>
          <w:i w:val="0"/>
          <w:sz w:val="24"/>
        </w:rPr>
        <w:t>The core functionality encompasses digitized sample accessioning with 2D DataMatrix barcodes, automated Agilent TapeStation CSV parsing, real-time milestone tracking, flow cell batching with dual-index verification, somatic variant classification under AMP/ASCO/CAP guidelines, and HL7 FHIR report generation. The platform provides dedicated dashboards for accessioning technicians, molecular biologists, bioinformaticians, pathologists, and laboratory directors.</w:t>
      </w:r>
    </w:p>
    <w:p>
      <w:pPr>
        <w:spacing w:before="0" w:after="120" w:line="276" w:lineRule="auto"/>
        <w:ind w:firstLine="720"/>
        <w:jc w:val="both"/>
      </w:pPr>
      <w:r>
        <w:rPr>
          <w:rFonts w:ascii="Times New Roman" w:hAnsi="Times New Roman"/>
          <w:b w:val="0"/>
          <w:i w:val="0"/>
          <w:sz w:val="24"/>
        </w:rPr>
        <w:t>From a technical perspective, the scope includes the development of RESTful APIs using Express.js, real-time event processing with Socket.IO for instant telemetry alerts, CSV parsing microservices for instrument log ingestion, and JWT middleware for authentication and role-based access.</w:t>
      </w:r>
    </w:p>
    <w:p>
      <w:pPr>
        <w:spacing w:before="0" w:after="120" w:line="276" w:lineRule="auto"/>
        <w:ind w:firstLine="720"/>
        <w:jc w:val="both"/>
      </w:pPr>
      <w:r>
        <w:rPr>
          <w:rFonts w:ascii="Times New Roman" w:hAnsi="Times New Roman"/>
          <w:b w:val="0"/>
          <w:i w:val="0"/>
          <w:sz w:val="24"/>
        </w:rPr>
        <w:t>The application follows a monorepo structure with separate client and server directories, using Vite for frontend bundling and Nodemon for backend hot-reloading during development. The system is designed for straightforward deployment on cloud platforms or local intranet servers, supporting a growing laboratory workload with minimal configuration overhead.</w:t>
      </w:r>
    </w:p>
    <w:p>
      <w:pPr>
        <w:spacing w:before="0" w:after="0" w:line="276" w:lineRule="auto"/>
        <w:ind w:firstLine="720"/>
        <w:jc w:val="both"/>
      </w:pPr>
      <w:r>
        <w:rPr>
          <w:rFonts w:ascii="Times New Roman" w:hAnsi="Times New Roman"/>
          <w:b w:val="0"/>
          <w:i w:val="0"/>
          <w:sz w:val="24"/>
        </w:rPr>
        <w:t>Certain aspects are explicitly excluded from the initial project scope. These include direct physical robotic liquid handler firmware control (such as Hamilton Microlab STAR APIs), physical sequencer laser calibration, and live hospital EHR integration over dedicated MLLP VPN tunnels requiring institutional IRB ethics review. These features are identified as potential future enhancements based on laboratory adoption.</w:t>
      </w:r>
    </w:p>
    <w:p>
      <w:r>
        <w:br w:type="page"/>
      </w:r>
    </w:p>
    <w:p>
      <w:pPr>
        <w:spacing w:before="280" w:after="120" w:line="276" w:lineRule="auto"/>
        <w:ind w:firstLine="0"/>
        <w:jc w:val="left"/>
      </w:pPr>
      <w:r>
        <w:rPr>
          <w:rFonts w:ascii="Times New Roman" w:hAnsi="Times New Roman"/>
          <w:b/>
          <w:sz w:val="28"/>
        </w:rPr>
        <w:t>1.5 MOTIVATION</w:t>
      </w:r>
    </w:p>
    <w:p>
      <w:pPr>
        <w:spacing w:before="0" w:after="120" w:line="276" w:lineRule="auto"/>
        <w:ind w:firstLine="720"/>
        <w:jc w:val="both"/>
      </w:pPr>
      <w:r>
        <w:rPr>
          <w:rFonts w:ascii="Times New Roman" w:hAnsi="Times New Roman"/>
          <w:b w:val="0"/>
          <w:i w:val="0"/>
          <w:sz w:val="24"/>
        </w:rPr>
        <w:t>The motivation for this project stems from the growing inefficiencies observed in current clinical molecular laboratories. Despite the availability of advanced sequencing hardware, laboratories consistently report operational bottlenecks in pre-analytical accessioning, manual QC transcription, and report delivery. Industry studies indicate that laboratory staff spend an average of 15 to 20 hours per week manually re-keying instrument data into disparate spreadsheets, a significant productivity drain that introduces critical error risks.</w:t>
      </w:r>
    </w:p>
    <w:p>
      <w:pPr>
        <w:spacing w:before="0" w:after="120" w:line="276" w:lineRule="auto"/>
        <w:ind w:firstLine="720"/>
        <w:jc w:val="both"/>
      </w:pPr>
      <w:r>
        <w:rPr>
          <w:rFonts w:ascii="Times New Roman" w:hAnsi="Times New Roman"/>
          <w:b w:val="0"/>
          <w:i w:val="0"/>
          <w:sz w:val="24"/>
        </w:rPr>
        <w:t>The rapid advancement of web technologies and real-time communication frameworks presents an opportunity to fundamentally transform how genomic workflows are orchestrated. By applying automated parsing algorithms to instrument telemetry logs, it is possible to analyze complex nucleic acid quality profiles at a depth and speed that manual review cannot achieve. This technological capability is the foundation upon which this platform is built.</w:t>
      </w:r>
    </w:p>
    <w:p>
      <w:pPr>
        <w:spacing w:before="0" w:after="120" w:line="276" w:lineRule="auto"/>
        <w:ind w:firstLine="720"/>
        <w:jc w:val="both"/>
      </w:pPr>
      <w:r>
        <w:rPr>
          <w:rFonts w:ascii="Times New Roman" w:hAnsi="Times New Roman"/>
          <w:b w:val="0"/>
          <w:i w:val="0"/>
          <w:sz w:val="24"/>
        </w:rPr>
        <w:t>The life-saving urgency of molecular oncology turnaround times further motivates the development of a unified workflow management platform. Cancer patients presenting with aggressive malignancies depend entirely on rapid identification of actionable mutations (such as EGFR, BRAF, or KRAS) to receive targeted kinase inhibitors. A robust, automated tracking mechanism is essential for clinical decision-making.</w:t>
      </w:r>
    </w:p>
    <w:p>
      <w:pPr>
        <w:spacing w:before="0" w:after="120" w:line="276" w:lineRule="auto"/>
        <w:ind w:firstLine="720"/>
        <w:jc w:val="both"/>
      </w:pPr>
      <w:r>
        <w:rPr>
          <w:rFonts w:ascii="Times New Roman" w:hAnsi="Times New Roman"/>
          <w:b w:val="0"/>
          <w:i w:val="0"/>
          <w:sz w:val="24"/>
        </w:rPr>
        <w:t>The availability of powerful full-stack JavaScript frameworks in the Node.js ecosystem provides the technical foundation for building a platform capable of handling the complexity required by a modern genomics laboratory. Technologies such as Express.js, Socket.IO, Mongoose, and React 18 enable rapid development, real-time communication, and intelligent workflow capabilities.</w:t>
      </w:r>
    </w:p>
    <w:p>
      <w:pPr>
        <w:spacing w:before="0" w:after="0" w:line="276" w:lineRule="auto"/>
        <w:ind w:firstLine="720"/>
        <w:jc w:val="both"/>
      </w:pPr>
      <w:r>
        <w:rPr>
          <w:rFonts w:ascii="Times New Roman" w:hAnsi="Times New Roman"/>
          <w:b w:val="0"/>
          <w:i w:val="0"/>
          <w:sz w:val="24"/>
        </w:rPr>
        <w:t>Finally, the project serves as a practical demonstration of integrating multiple cutting-edge technologies into a cohesive, production-ready application. The combination of React with Vite, Express.js, MongoDB, Socket.IO, and HL7 FHIR standards represents a modern MERN-stack architecture that addresses real-world clinical challenges in precision medicine while providing a robust platform for future innovation.</w:t>
      </w:r>
    </w:p>
    <w:p>
      <w:r>
        <w:br w:type="page"/>
      </w:r>
    </w:p>
    <w:p>
      <w:pPr>
        <w:spacing w:before="240" w:after="80" w:line="276" w:lineRule="auto"/>
        <w:ind w:firstLine="0"/>
        <w:jc w:val="center"/>
      </w:pPr>
      <w:r>
        <w:rPr>
          <w:rFonts w:ascii="Times New Roman" w:hAnsi="Times New Roman"/>
          <w:b/>
          <w:sz w:val="32"/>
        </w:rPr>
        <w:t>CHAPTER 2</w:t>
      </w:r>
    </w:p>
    <w:p>
      <w:pPr>
        <w:spacing w:before="0" w:after="200" w:line="276" w:lineRule="auto"/>
        <w:ind w:firstLine="0"/>
        <w:jc w:val="center"/>
      </w:pPr>
      <w:r>
        <w:rPr>
          <w:rFonts w:ascii="Times New Roman" w:hAnsi="Times New Roman"/>
          <w:b/>
          <w:sz w:val="32"/>
        </w:rPr>
        <w:t>LITERATURE SURVEY</w:t>
      </w:r>
    </w:p>
    <w:p>
      <w:pPr>
        <w:spacing w:before="0" w:after="160" w:line="276" w:lineRule="auto"/>
        <w:ind w:firstLine="720"/>
        <w:jc w:val="both"/>
      </w:pPr>
      <w:r>
        <w:rPr>
          <w:rFonts w:ascii="Times New Roman" w:hAnsi="Times New Roman"/>
          <w:b w:val="0"/>
          <w:i w:val="0"/>
          <w:sz w:val="24"/>
        </w:rPr>
        <w:t>This chapter deals with the review of existing research and systems related to laboratory information management systems (LIMS), automated instrument telemetry parsing, and electronic health record genomic interoperability.</w:t>
      </w:r>
    </w:p>
    <w:p>
      <w:pPr>
        <w:spacing w:before="200" w:after="80" w:line="276" w:lineRule="auto"/>
        <w:ind w:firstLine="0"/>
        <w:jc w:val="left"/>
      </w:pPr>
      <w:r>
        <w:rPr>
          <w:rFonts w:ascii="Times New Roman" w:hAnsi="Times New Roman"/>
          <w:b/>
          <w:sz w:val="28"/>
        </w:rPr>
        <w:t>2.1 LITERATURE REVIEW</w:t>
      </w:r>
    </w:p>
    <w:p>
      <w:pPr>
        <w:spacing w:before="0" w:after="120" w:line="276" w:lineRule="auto"/>
        <w:ind w:firstLine="720"/>
        <w:jc w:val="both"/>
      </w:pPr>
      <w:r>
        <w:rPr>
          <w:rFonts w:ascii="Times New Roman" w:hAnsi="Times New Roman"/>
          <w:b w:val="0"/>
          <w:i w:val="0"/>
          <w:sz w:val="24"/>
        </w:rPr>
        <w:t>Park et al. (2023) published a comprehensive study titled "Automated Quality Control and Workflow Orchestration in High-Throughput Next-Generation Sequencing Laboratories" in Briefings in Bioinformatics, examining the application of automated data ingestion to clinical sequencing pipelines. Their research demonstrated that automated telemetry parsing achieves 35 to 45 percent higher efficiency compared to manual data entry approaches. The study evaluated microfluidic electrophoresis logs against strict gating criteria, establishing a benchmark for intelligent quality control in molecular diagnostics.</w:t>
      </w:r>
    </w:p>
    <w:p>
      <w:pPr>
        <w:spacing w:before="0" w:after="120" w:line="276" w:lineRule="auto"/>
        <w:ind w:firstLine="720"/>
        <w:jc w:val="both"/>
      </w:pPr>
      <w:r>
        <w:rPr>
          <w:rFonts w:ascii="Times New Roman" w:hAnsi="Times New Roman"/>
          <w:b w:val="0"/>
          <w:i w:val="0"/>
          <w:sz w:val="24"/>
        </w:rPr>
        <w:t>Alterovitz et al. (2024) explored "FHIR Genomics: Enabling Standardized Precision Medicine Data Exchange" in the Journal of the American Medical Informatics Association (JAMIA), presenting an interoperability framework that combines HL7 FHIR standards with structured molecular findings. Their system structured somatic variant calls and matched them against standardized LOINC and HGVS terminologies, achieving significant improvements in clinical report ingestion. The research highlighted the importance of incorporating structured genomic observations into electronic health record workflows.</w:t>
      </w:r>
    </w:p>
    <w:p>
      <w:pPr>
        <w:spacing w:before="0" w:after="120" w:line="276" w:lineRule="auto"/>
        <w:ind w:firstLine="720"/>
        <w:jc w:val="both"/>
      </w:pPr>
      <w:r>
        <w:rPr>
          <w:rFonts w:ascii="Times New Roman" w:hAnsi="Times New Roman"/>
          <w:b w:val="0"/>
          <w:i w:val="0"/>
          <w:sz w:val="24"/>
        </w:rPr>
        <w:t>Chintalapudi et al. (2024) investigated "Cloud-Native Web Architectures for Clinical Diagnostic Laboratories" in IEEE Access, proposing a reactive framework for milestone-based sample tracking. Their framework demonstrated how automated state transitions upon QC verification reduce turnaround times compared to traditional paper-based models. The study validated the effectiveness of structured verification for laboratory milestones in high-throughput clinical contexts.</w:t>
      </w:r>
    </w:p>
    <w:p>
      <w:pPr>
        <w:spacing w:before="0" w:after="0" w:line="276" w:lineRule="auto"/>
        <w:ind w:firstLine="720"/>
        <w:jc w:val="both"/>
      </w:pPr>
      <w:r>
        <w:rPr>
          <w:rFonts w:ascii="Times New Roman" w:hAnsi="Times New Roman"/>
          <w:b w:val="0"/>
          <w:i w:val="0"/>
          <w:sz w:val="24"/>
        </w:rPr>
        <w:t>Chen et al. (2023) published research on "Real-Time Communication Systems for Distributed Laboratory Operations" in ACM Computing Surveys, evaluating WebSocket-based messaging architectures for collaborative clinical platforms. Their findings showed that</w:t>
      </w:r>
    </w:p>
    <w:p>
      <w:r>
        <w:br w:type="page"/>
      </w:r>
    </w:p>
    <w:p>
      <w:pPr>
        <w:spacing w:before="0" w:after="120" w:line="276" w:lineRule="auto"/>
        <w:ind w:firstLine="720"/>
        <w:jc w:val="both"/>
      </w:pPr>
      <w:r>
        <w:rPr>
          <w:rFonts w:ascii="Times New Roman" w:hAnsi="Times New Roman"/>
          <w:b w:val="0"/>
          <w:i w:val="0"/>
          <w:sz w:val="24"/>
        </w:rPr>
        <w:t>integrated real-time messaging reduces workflow turnaround time by 25 percent through improved communication efficiency. The study compared various real-time technologies including Socket.IO and raw WebSockets for notification delivery and event-driven processing.</w:t>
      </w:r>
    </w:p>
    <w:p>
      <w:pPr>
        <w:spacing w:before="0" w:after="200" w:line="276" w:lineRule="auto"/>
        <w:ind w:firstLine="720"/>
        <w:jc w:val="both"/>
      </w:pPr>
      <w:r>
        <w:rPr>
          <w:rFonts w:ascii="Times New Roman" w:hAnsi="Times New Roman"/>
          <w:b w:val="0"/>
          <w:i w:val="0"/>
          <w:sz w:val="24"/>
        </w:rPr>
        <w:t>Kumar and Patel (2024) analyzed "Trust and Audit Logging in Regulated Clinical Systems" in the Journal of Healthcare Information Research, examining how verified audit trails impact regulatory compliance under ISO 15189. Their longitudinal study across multiple diagnostic laboratories demonstrated that transparent, tamper-evident logging increases traceability by 40 percent and significantly reduces documentation discrepancies during accreditation reviews.</w:t>
      </w:r>
    </w:p>
    <w:p>
      <w:pPr>
        <w:spacing w:before="200" w:after="80" w:line="276" w:lineRule="auto"/>
        <w:ind w:firstLine="0"/>
        <w:jc w:val="left"/>
      </w:pPr>
      <w:r>
        <w:rPr>
          <w:rFonts w:ascii="Times New Roman" w:hAnsi="Times New Roman"/>
          <w:b/>
          <w:sz w:val="28"/>
        </w:rPr>
        <w:t>2.2 EXISTING SYSTEM</w:t>
      </w:r>
    </w:p>
    <w:p>
      <w:pPr>
        <w:spacing w:before="0" w:after="120" w:line="276" w:lineRule="auto"/>
        <w:ind w:firstLine="720"/>
        <w:jc w:val="both"/>
      </w:pPr>
      <w:r>
        <w:rPr>
          <w:rFonts w:ascii="Times New Roman" w:hAnsi="Times New Roman"/>
          <w:b w:val="0"/>
          <w:i w:val="0"/>
          <w:sz w:val="24"/>
        </w:rPr>
        <w:t>Current clinical laboratories rely primarily on manual paper requisition intake and isolated desktop spreadsheets. Laboratory personnel log incoming specimens manually and manage tracking sheets across multiple local drives, requiring extensive manual effort to maintain records.</w:t>
      </w:r>
    </w:p>
    <w:p>
      <w:pPr>
        <w:spacing w:before="0" w:after="120" w:line="276" w:lineRule="auto"/>
        <w:ind w:firstLine="720"/>
        <w:jc w:val="both"/>
      </w:pPr>
      <w:r>
        <w:rPr>
          <w:rFonts w:ascii="Times New Roman" w:hAnsi="Times New Roman"/>
          <w:b w:val="0"/>
          <w:i w:val="0"/>
          <w:sz w:val="24"/>
        </w:rPr>
        <w:t>Quality control assessment in conventional systems fails to integrate directly with instrument outputs. Data management remains fragmented, lacking structured telemetry parsing and frequently leading to gating delays and specimen misclassification.</w:t>
      </w:r>
    </w:p>
    <w:p>
      <w:pPr>
        <w:spacing w:before="0" w:after="120" w:line="276" w:lineRule="auto"/>
        <w:ind w:firstLine="720"/>
        <w:jc w:val="both"/>
      </w:pPr>
      <w:r>
        <w:rPr>
          <w:rFonts w:ascii="Times New Roman" w:hAnsi="Times New Roman"/>
          <w:b w:val="0"/>
          <w:i w:val="0"/>
          <w:sz w:val="24"/>
        </w:rPr>
        <w:t>Analytics on existing platforms are restricted to basic manual counts, lacking real-time visibility into sequencing throughput, turnaround times, or instrument utilization to assist laboratory managers in making operational decisions.</w:t>
      </w:r>
    </w:p>
    <w:p>
      <w:pPr>
        <w:spacing w:before="0" w:after="120" w:line="276" w:lineRule="auto"/>
        <w:ind w:firstLine="720"/>
        <w:jc w:val="both"/>
      </w:pPr>
      <w:r>
        <w:rPr>
          <w:rFonts w:ascii="Times New Roman" w:hAnsi="Times New Roman"/>
          <w:b w:val="0"/>
          <w:i w:val="0"/>
          <w:sz w:val="24"/>
        </w:rPr>
        <w:t>Flow cell batching workflows remain manual without automated collision checking algorithms that verify dual-index compatibility across multiplexed patient libraries.</w:t>
      </w:r>
    </w:p>
    <w:p>
      <w:pPr>
        <w:spacing w:before="0" w:after="200" w:line="276" w:lineRule="auto"/>
        <w:ind w:firstLine="720"/>
        <w:jc w:val="both"/>
      </w:pPr>
      <w:r>
        <w:rPr>
          <w:rFonts w:ascii="Times New Roman" w:hAnsi="Times New Roman"/>
          <w:b w:val="0"/>
          <w:i w:val="0"/>
          <w:sz w:val="24"/>
        </w:rPr>
        <w:t>Key limitations of existing systems include the absence of automated telemetry parsing, unintegrated communication channels, inadequate milestone verification, weak regulatory audit trails, and unstructured static PDF reporting.</w:t>
      </w:r>
    </w:p>
    <w:p>
      <w:pPr>
        <w:spacing w:before="200" w:after="80" w:line="276" w:lineRule="auto"/>
        <w:ind w:firstLine="0"/>
        <w:jc w:val="left"/>
      </w:pPr>
      <w:r>
        <w:rPr>
          <w:rFonts w:ascii="Times New Roman" w:hAnsi="Times New Roman"/>
          <w:b/>
          <w:sz w:val="28"/>
        </w:rPr>
        <w:t>2.3 PROPOSED SYSTEM</w:t>
      </w:r>
    </w:p>
    <w:p>
      <w:pPr>
        <w:spacing w:before="0" w:after="0" w:line="276" w:lineRule="auto"/>
        <w:ind w:firstLine="720"/>
        <w:jc w:val="both"/>
      </w:pPr>
      <w:r>
        <w:rPr>
          <w:rFonts w:ascii="Times New Roman" w:hAnsi="Times New Roman"/>
          <w:b w:val="0"/>
          <w:i w:val="0"/>
          <w:sz w:val="24"/>
        </w:rPr>
        <w:t>The proposed Genomics Laboratory Sequencing Workflow Management System introduces an intelligent telemetry ingestion engine utilizing automated file parsers to interpret Agilent TapeStation and Qubit outputs based on clinical quality thresholds. The engine evaluates</w:t>
      </w:r>
    </w:p>
    <w:p>
      <w:r>
        <w:br w:type="page"/>
      </w:r>
    </w:p>
    <w:p>
      <w:pPr>
        <w:spacing w:before="0" w:after="120" w:line="276" w:lineRule="auto"/>
        <w:ind w:firstLine="720"/>
        <w:jc w:val="both"/>
      </w:pPr>
      <w:r>
        <w:rPr>
          <w:rFonts w:ascii="Times New Roman" w:hAnsi="Times New Roman"/>
          <w:b w:val="0"/>
          <w:i w:val="0"/>
          <w:sz w:val="24"/>
        </w:rPr>
        <w:t>nucleic acid integrity, sample concentration, volume metrics, and historical run performance to generate high-accuracy quality gating decisions.</w:t>
      </w:r>
    </w:p>
    <w:p>
      <w:pPr>
        <w:spacing w:before="0" w:after="120" w:line="276" w:lineRule="auto"/>
        <w:ind w:firstLine="720"/>
        <w:jc w:val="both"/>
      </w:pPr>
      <w:r>
        <w:rPr>
          <w:rFonts w:ascii="Times New Roman" w:hAnsi="Times New Roman"/>
          <w:b w:val="0"/>
          <w:i w:val="0"/>
          <w:sz w:val="24"/>
        </w:rPr>
        <w:t>The platform incorporates real-time messaging powered by Socket.IO, enabling instant communication linked directly to specimen milestones. This integrated collaboration layer supports QC failure notifications, auditable state change broadcasts, and live alerts, significantly reducing communication latency and operational risks.</w:t>
      </w:r>
    </w:p>
    <w:p>
      <w:pPr>
        <w:spacing w:before="0" w:after="120" w:line="276" w:lineRule="auto"/>
        <w:ind w:firstLine="720"/>
        <w:jc w:val="both"/>
      </w:pPr>
      <w:r>
        <w:rPr>
          <w:rFonts w:ascii="Times New Roman" w:hAnsi="Times New Roman"/>
          <w:b w:val="0"/>
          <w:i w:val="0"/>
          <w:sz w:val="24"/>
        </w:rPr>
        <w:t>A structured milestone tracking module allows laboratory personnel to monitor clinical stages with explicit entry criteria, status checks, and sign-offs. Automated state transitions monitor completion status and trigger review workflows, replacing ad-hoc spreadsheet tracking with an accountable, transparent lifecycle.</w:t>
      </w:r>
    </w:p>
    <w:p>
      <w:pPr>
        <w:spacing w:before="0" w:after="120" w:line="276" w:lineRule="auto"/>
        <w:ind w:firstLine="720"/>
        <w:jc w:val="both"/>
      </w:pPr>
      <w:r>
        <w:rPr>
          <w:rFonts w:ascii="Times New Roman" w:hAnsi="Times New Roman"/>
          <w:b w:val="0"/>
          <w:i w:val="0"/>
          <w:sz w:val="24"/>
        </w:rPr>
        <w:t>The intelligent flow cell batching module groups qualified libraries onto Illumina NovaSeq and NextSeq flow cells while performing automated dual-index collision checks. A structured demultiplexing validation algorithm verifies index diversity, eliminating sample cross-contamination risks and ensuring high sequencing yield.</w:t>
      </w:r>
    </w:p>
    <w:p>
      <w:pPr>
        <w:spacing w:before="0" w:after="0" w:line="276" w:lineRule="auto"/>
        <w:ind w:firstLine="720"/>
        <w:jc w:val="both"/>
      </w:pPr>
      <w:r>
        <w:rPr>
          <w:rFonts w:ascii="Times New Roman" w:hAnsi="Times New Roman"/>
          <w:b w:val="0"/>
          <w:i w:val="0"/>
          <w:sz w:val="24"/>
        </w:rPr>
        <w:t>The system is architected as a full-stack JavaScript application on Node.js and Express, with MongoDB providing scalable document storage for requisitions, telemetry data, sequencing runs, and audit logs, ensuring high-concurrency event processing across all laboratory services.</w:t>
      </w:r>
    </w:p>
    <w:p>
      <w:r>
        <w:br w:type="page"/>
      </w:r>
    </w:p>
    <w:p>
      <w:pPr>
        <w:spacing w:before="240" w:after="80" w:line="276" w:lineRule="auto"/>
        <w:ind w:firstLine="0"/>
        <w:jc w:val="center"/>
      </w:pPr>
      <w:r>
        <w:rPr>
          <w:rFonts w:ascii="Times New Roman" w:hAnsi="Times New Roman"/>
          <w:b/>
          <w:sz w:val="32"/>
        </w:rPr>
        <w:t>CHAPTER 3</w:t>
      </w:r>
    </w:p>
    <w:p>
      <w:pPr>
        <w:spacing w:before="0" w:after="200" w:line="276" w:lineRule="auto"/>
        <w:ind w:firstLine="0"/>
        <w:jc w:val="center"/>
      </w:pPr>
      <w:r>
        <w:rPr>
          <w:rFonts w:ascii="Times New Roman" w:hAnsi="Times New Roman"/>
          <w:b/>
          <w:sz w:val="32"/>
        </w:rPr>
        <w:t>SYSTEM ANALYSIS</w:t>
      </w:r>
    </w:p>
    <w:p>
      <w:pPr>
        <w:spacing w:before="0" w:after="160" w:line="276" w:lineRule="auto"/>
        <w:ind w:firstLine="720"/>
        <w:jc w:val="both"/>
      </w:pPr>
      <w:r>
        <w:rPr>
          <w:rFonts w:ascii="Times New Roman" w:hAnsi="Times New Roman"/>
          <w:b w:val="0"/>
          <w:i w:val="0"/>
          <w:sz w:val="24"/>
        </w:rPr>
        <w:t>This chapter deals with the system requirements analysis, including functional and non-functional requirements, and the software and hardware specifications for the Genomics Laboratory Sequencing Workflow Management System.</w:t>
      </w:r>
    </w:p>
    <w:p>
      <w:pPr>
        <w:spacing w:before="200" w:after="80" w:line="276" w:lineRule="auto"/>
        <w:ind w:firstLine="0"/>
        <w:jc w:val="left"/>
      </w:pPr>
      <w:r>
        <w:rPr>
          <w:rFonts w:ascii="Times New Roman" w:hAnsi="Times New Roman"/>
          <w:b/>
          <w:sz w:val="28"/>
        </w:rPr>
        <w:t>3.1 SYSTEM REQUIREMENTS</w:t>
      </w:r>
    </w:p>
    <w:p>
      <w:pPr>
        <w:spacing w:before="0" w:after="120" w:line="276" w:lineRule="auto"/>
        <w:ind w:firstLine="720"/>
        <w:jc w:val="both"/>
      </w:pPr>
      <w:r>
        <w:rPr>
          <w:rFonts w:ascii="Times New Roman" w:hAnsi="Times New Roman"/>
          <w:b w:val="0"/>
          <w:i w:val="0"/>
          <w:sz w:val="24"/>
        </w:rPr>
        <w:t>The functional requirements of the system encompass user registration and authentication with role-based access control for accessioning technicians, molecular biologists, bioinformaticians, pathologists, and administrators. The platform must support clinical requisition intake with detailed patient specifications, anatomical site tagging, and storage coordinates. The automated QC parsing engine must process instrument telemetry files and generate pass/fail gating decisions within three seconds of submission. Requisition management must allow staff to view and update specimen metadata with audit verification.</w:t>
      </w:r>
    </w:p>
    <w:p>
      <w:pPr>
        <w:spacing w:before="0" w:after="120" w:line="276" w:lineRule="auto"/>
        <w:ind w:firstLine="720"/>
        <w:jc w:val="both"/>
      </w:pPr>
      <w:r>
        <w:rPr>
          <w:rFonts w:ascii="Times New Roman" w:hAnsi="Times New Roman"/>
          <w:b w:val="0"/>
          <w:i w:val="0"/>
          <w:sz w:val="24"/>
        </w:rPr>
        <w:t>The real-time messaging system must support instant notification delivery with sub-second latency, file attachment uploads up to 25 megabytes for instrument logs, and persistent event history linked to specimen milestones. The milestone tracking module must allow tracking across 6 defined clinical stages with configurable thresholds, deadlines, and acceptance criteria. Automated status transitions must trigger upon telemetry ingestion and pathologist review actions.</w:t>
      </w:r>
    </w:p>
    <w:p>
      <w:pPr>
        <w:spacing w:before="0" w:after="120" w:line="276" w:lineRule="auto"/>
        <w:ind w:firstLine="720"/>
        <w:jc w:val="both"/>
      </w:pPr>
      <w:r>
        <w:rPr>
          <w:rFonts w:ascii="Times New Roman" w:hAnsi="Times New Roman"/>
          <w:b w:val="0"/>
          <w:i w:val="0"/>
          <w:sz w:val="24"/>
        </w:rPr>
        <w:t>The flow cell allocation system must support multiple sequencer types through automated sample sheet generation. Libraries must be assigned to flow cell pools upon QC pass and locked for sequencing. The index collision check system must verify dual-index adapter combinations for error-free demultiplexing.</w:t>
      </w:r>
    </w:p>
    <w:p>
      <w:pPr>
        <w:spacing w:before="0" w:after="120" w:line="276" w:lineRule="auto"/>
        <w:ind w:firstLine="720"/>
        <w:jc w:val="both"/>
      </w:pPr>
      <w:r>
        <w:rPr>
          <w:rFonts w:ascii="Times New Roman" w:hAnsi="Times New Roman"/>
          <w:b w:val="0"/>
          <w:i w:val="0"/>
          <w:sz w:val="24"/>
        </w:rPr>
        <w:t>Non-functional requirements specify that the platform must maintain high uptime availability, support concurrent laboratory users with responsive API endpoints, and handle real-time Socket.IO events efficiently. Data security must be enforced through JWT-based authentication, bcrypt password hashing, and HTTPS in production to ensure comprehensive security across all diagnostic data flows.</w:t>
      </w:r>
    </w:p>
    <w:p>
      <w:pPr>
        <w:spacing w:before="0" w:after="0" w:line="276" w:lineRule="auto"/>
        <w:ind w:firstLine="720"/>
        <w:jc w:val="both"/>
      </w:pPr>
      <w:r>
        <w:rPr>
          <w:rFonts w:ascii="Times New Roman" w:hAnsi="Times New Roman"/>
          <w:b w:val="0"/>
          <w:i w:val="0"/>
          <w:sz w:val="24"/>
        </w:rPr>
        <w:t>The audit logging system must record SHA-256 cryptographic hashes with detailed timestamps, mandatory user attribution upon state transitions, and automated detection</w:t>
      </w:r>
    </w:p>
    <w:p>
      <w:r>
        <w:br w:type="page"/>
      </w:r>
    </w:p>
    <w:p>
      <w:pPr>
        <w:spacing w:before="0" w:after="200" w:line="276" w:lineRule="auto"/>
        <w:ind w:firstLine="720"/>
        <w:jc w:val="both"/>
      </w:pPr>
      <w:r>
        <w:rPr>
          <w:rFonts w:ascii="Times New Roman" w:hAnsi="Times New Roman"/>
          <w:b w:val="0"/>
          <w:i w:val="0"/>
          <w:sz w:val="24"/>
        </w:rPr>
        <w:t>of unauthorized record modifications. The platform must provide comprehensive search and filtering capabilities including barcode-based search, specimen type filtering, QC status filtering, and turnaround time thresholds. Administrative dashboards must provide laboratory-wide throughput analytics, user role management, and compliance auditing tools.</w:t>
      </w:r>
    </w:p>
    <w:p>
      <w:pPr>
        <w:spacing w:before="200" w:after="120" w:line="276" w:lineRule="auto"/>
        <w:ind w:firstLine="0"/>
        <w:jc w:val="left"/>
      </w:pPr>
      <w:r>
        <w:rPr>
          <w:rFonts w:ascii="Times New Roman" w:hAnsi="Times New Roman"/>
          <w:b/>
          <w:sz w:val="28"/>
        </w:rPr>
        <w:t>3.2 SOFTWARE AND HARDWARE REQUIREMENTS</w:t>
      </w:r>
    </w:p>
    <w:p>
      <w:pPr>
        <w:spacing w:before="80" w:after="80"/>
      </w:pPr>
      <w:r>
        <w:rPr>
          <w:rFonts w:ascii="Times New Roman" w:hAnsi="Times New Roman"/>
          <w:b/>
          <w:sz w:val="24"/>
        </w:rPr>
        <w:t>Software Requirements:</w:t>
      </w:r>
    </w:p>
    <w:p>
      <w:pPr>
        <w:spacing w:before="20" w:after="40" w:line="276" w:lineRule="auto"/>
        <w:ind w:firstLine="0" w:left="360"/>
      </w:pPr>
      <w:r>
        <w:rPr>
          <w:rFonts w:ascii="Times New Roman" w:hAnsi="Times New Roman"/>
          <w:sz w:val="22"/>
        </w:rPr>
        <w:t>•  Frontend: React 18 with JSX, Tailwind CSS 4, Vite build tool, React Router 6</w:t>
      </w:r>
    </w:p>
    <w:p>
      <w:pPr>
        <w:spacing w:before="20" w:after="40" w:line="276" w:lineRule="auto"/>
        <w:ind w:firstLine="0" w:left="360"/>
      </w:pPr>
      <w:r>
        <w:rPr>
          <w:rFonts w:ascii="Times New Roman" w:hAnsi="Times New Roman"/>
          <w:sz w:val="22"/>
        </w:rPr>
        <w:t>•  Backend: Node.js with Express 4, Mongoose ODM, Socket.IO, Recharts Analytics</w:t>
      </w:r>
    </w:p>
    <w:p>
      <w:pPr>
        <w:spacing w:before="20" w:after="40" w:line="276" w:lineRule="auto"/>
        <w:ind w:firstLine="0" w:left="360"/>
      </w:pPr>
      <w:r>
        <w:rPr>
          <w:rFonts w:ascii="Times New Roman" w:hAnsi="Times New Roman"/>
          <w:sz w:val="22"/>
        </w:rPr>
        <w:t>•  Database: MongoDB (via Mongoose ODM)</w:t>
      </w:r>
    </w:p>
    <w:p>
      <w:pPr>
        <w:spacing w:before="20" w:after="40" w:line="276" w:lineRule="auto"/>
        <w:ind w:firstLine="0" w:left="360"/>
      </w:pPr>
      <w:r>
        <w:rPr>
          <w:rFonts w:ascii="Times New Roman" w:hAnsi="Times New Roman"/>
          <w:sz w:val="22"/>
        </w:rPr>
        <w:t>•  Real-Time: Socket.IO for bidirectional real-time communication</w:t>
      </w:r>
    </w:p>
    <w:p>
      <w:pPr>
        <w:spacing w:before="20" w:after="40" w:line="276" w:lineRule="auto"/>
        <w:ind w:firstLine="0" w:left="360"/>
      </w:pPr>
      <w:r>
        <w:rPr>
          <w:rFonts w:ascii="Times New Roman" w:hAnsi="Times New Roman"/>
          <w:sz w:val="22"/>
        </w:rPr>
        <w:t>•  Instrument Telemetry: Streaming CSV/XML Parser for Agilent TapeStation and Qubit</w:t>
      </w:r>
    </w:p>
    <w:p>
      <w:pPr>
        <w:spacing w:before="20" w:after="40" w:line="276" w:lineRule="auto"/>
        <w:ind w:firstLine="0" w:left="360"/>
      </w:pPr>
      <w:r>
        <w:rPr>
          <w:rFonts w:ascii="Times New Roman" w:hAnsi="Times New Roman"/>
          <w:sz w:val="22"/>
        </w:rPr>
        <w:t>•  Interoperability: HL7 FHIR Genomics JSON Serializer (DiagnosticReport, Specimen)</w:t>
      </w:r>
    </w:p>
    <w:p>
      <w:pPr>
        <w:spacing w:before="20" w:after="40" w:line="276" w:lineRule="auto"/>
        <w:ind w:firstLine="0" w:left="360"/>
      </w:pPr>
      <w:r>
        <w:rPr>
          <w:rFonts w:ascii="Times New Roman" w:hAnsi="Times New Roman"/>
          <w:sz w:val="22"/>
        </w:rPr>
        <w:t>•  Authentication: JWT (jsonwebtoken) with bcryptjs password hashing</w:t>
      </w:r>
    </w:p>
    <w:p>
      <w:pPr>
        <w:spacing w:before="20" w:after="40" w:line="276" w:lineRule="auto"/>
        <w:ind w:firstLine="0" w:left="360"/>
      </w:pPr>
      <w:r>
        <w:rPr>
          <w:rFonts w:ascii="Times New Roman" w:hAnsi="Times New Roman"/>
          <w:sz w:val="22"/>
        </w:rPr>
        <w:t>•  Operating System: Windows/macOS/Linux (development and deployment)</w:t>
      </w:r>
    </w:p>
    <w:p>
      <w:pPr>
        <w:spacing w:before="20" w:after="40" w:line="276" w:lineRule="auto"/>
        <w:ind w:firstLine="0" w:left="360"/>
      </w:pPr>
      <w:r>
        <w:rPr>
          <w:rFonts w:ascii="Times New Roman" w:hAnsi="Times New Roman"/>
          <w:sz w:val="22"/>
        </w:rPr>
        <w:t>•  Version Control: Git with GitHub</w:t>
      </w:r>
    </w:p>
    <w:p>
      <w:pPr>
        <w:spacing w:before="160" w:after="80"/>
      </w:pPr>
      <w:r>
        <w:rPr>
          <w:rFonts w:ascii="Times New Roman" w:hAnsi="Times New Roman"/>
          <w:b/>
          <w:sz w:val="24"/>
        </w:rPr>
        <w:t>Hardware Requirements:</w:t>
      </w:r>
    </w:p>
    <w:p>
      <w:pPr>
        <w:spacing w:before="20" w:after="40" w:line="276" w:lineRule="auto"/>
        <w:ind w:firstLine="0" w:left="360"/>
      </w:pPr>
      <w:r>
        <w:rPr>
          <w:rFonts w:ascii="Times New Roman" w:hAnsi="Times New Roman"/>
          <w:sz w:val="22"/>
        </w:rPr>
        <w:t>•  Development: 16 GB RAM, 4-core processor, 256 GB SSD</w:t>
      </w:r>
    </w:p>
    <w:p>
      <w:pPr>
        <w:spacing w:before="20" w:after="40" w:line="276" w:lineRule="auto"/>
        <w:ind w:firstLine="0" w:left="360"/>
      </w:pPr>
      <w:r>
        <w:rPr>
          <w:rFonts w:ascii="Times New Roman" w:hAnsi="Times New Roman"/>
          <w:sz w:val="22"/>
        </w:rPr>
        <w:t>•  Production Server: 4 GB RAM, 2-core processor, 50 GB SSD (cloud VPS)</w:t>
      </w:r>
    </w:p>
    <w:p>
      <w:pPr>
        <w:spacing w:before="20" w:after="40" w:line="276" w:lineRule="auto"/>
        <w:ind w:firstLine="0" w:left="360"/>
      </w:pPr>
      <w:r>
        <w:rPr>
          <w:rFonts w:ascii="Times New Roman" w:hAnsi="Times New Roman"/>
          <w:sz w:val="22"/>
        </w:rPr>
        <w:t>•  Database: MongoDB Atlas free/shared tier or 2 GB RAM dedicated instance</w:t>
      </w:r>
    </w:p>
    <w:p>
      <w:pPr>
        <w:spacing w:before="20" w:after="40" w:line="276" w:lineRule="auto"/>
        <w:ind w:firstLine="0" w:left="360"/>
      </w:pPr>
      <w:r>
        <w:rPr>
          <w:rFonts w:ascii="Times New Roman" w:hAnsi="Times New Roman"/>
          <w:sz w:val="22"/>
        </w:rPr>
        <w:t>•  Network: Standard broadband, cloud hosting with HTTPS</w:t>
      </w:r>
    </w:p>
    <w:p>
      <w:r>
        <w:br w:type="page"/>
      </w:r>
    </w:p>
    <w:p>
      <w:pPr>
        <w:spacing w:before="240" w:after="80" w:line="276" w:lineRule="auto"/>
        <w:ind w:firstLine="0"/>
        <w:jc w:val="center"/>
      </w:pPr>
      <w:r>
        <w:rPr>
          <w:rFonts w:ascii="Times New Roman" w:hAnsi="Times New Roman"/>
          <w:b/>
          <w:sz w:val="32"/>
        </w:rPr>
        <w:t>CHAPTER 4</w:t>
      </w:r>
    </w:p>
    <w:p>
      <w:pPr>
        <w:spacing w:before="0" w:after="200" w:line="276" w:lineRule="auto"/>
        <w:ind w:firstLine="0"/>
        <w:jc w:val="center"/>
      </w:pPr>
      <w:r>
        <w:rPr>
          <w:rFonts w:ascii="Times New Roman" w:hAnsi="Times New Roman"/>
          <w:b/>
          <w:sz w:val="32"/>
        </w:rPr>
        <w:t>METHODOLOGY</w:t>
      </w:r>
    </w:p>
    <w:p>
      <w:pPr>
        <w:spacing w:before="0" w:after="160" w:line="276" w:lineRule="auto"/>
        <w:ind w:firstLine="720"/>
        <w:jc w:val="both"/>
      </w:pPr>
      <w:r>
        <w:rPr>
          <w:rFonts w:ascii="Times New Roman" w:hAnsi="Times New Roman"/>
          <w:b w:val="0"/>
          <w:i w:val="0"/>
          <w:sz w:val="24"/>
        </w:rPr>
        <w:t>This chapter deals with the system architecture, module descriptions, and UML diagrams that define the design and structure of the Genomics Laboratory Sequencing Workflow Management System.</w:t>
      </w:r>
    </w:p>
    <w:p>
      <w:pPr>
        <w:spacing w:before="200" w:after="80" w:line="276" w:lineRule="auto"/>
        <w:ind w:firstLine="0"/>
        <w:jc w:val="left"/>
      </w:pPr>
      <w:r>
        <w:rPr>
          <w:rFonts w:ascii="Times New Roman" w:hAnsi="Times New Roman"/>
          <w:b/>
          <w:sz w:val="28"/>
        </w:rPr>
        <w:t>4.1 SYSTEM ARCHITECTURE</w:t>
      </w:r>
    </w:p>
    <w:p>
      <w:pPr>
        <w:spacing w:before="0" w:after="120" w:line="276" w:lineRule="auto"/>
        <w:ind w:firstLine="720"/>
        <w:jc w:val="both"/>
      </w:pPr>
      <w:r>
        <w:rPr>
          <w:rFonts w:ascii="Times New Roman" w:hAnsi="Times New Roman"/>
          <w:b w:val="0"/>
          <w:i w:val="0"/>
          <w:sz w:val="24"/>
        </w:rPr>
        <w:t>The system follows a full-stack MERN (MongoDB, Express, React, Node.js) architecture designed for scalability and maintainability. The frontend layer consists of a React single-page application built with Vite that communicates with the backend through RESTful API endpoints. Express middleware handles request routing, CORS configuration, and JWT authentication token validation.</w:t>
      </w:r>
    </w:p>
    <w:p>
      <w:pPr>
        <w:spacing w:before="0" w:after="120" w:line="276" w:lineRule="auto"/>
        <w:ind w:firstLine="720"/>
        <w:jc w:val="both"/>
      </w:pPr>
      <w:r>
        <w:rPr>
          <w:rFonts w:ascii="Times New Roman" w:hAnsi="Times New Roman"/>
          <w:b w:val="0"/>
          <w:i w:val="0"/>
          <w:sz w:val="24"/>
        </w:rPr>
        <w:t>The backend is a Node.js Express application organized into modular routes and controllers, each responsible for a specific domain: Auth routes for registration and login with JWT tokens, Specimen routes for accessioning and tracking, Run routes for Illumina flow cell batching, Telemetry routes for Agilent TapeStation log ingestion, Report routes for diagnostic review, and Audit routes for ISO 15189 compliance.</w:t>
      </w:r>
    </w:p>
    <w:p>
      <w:pPr>
        <w:spacing w:before="0" w:after="120" w:line="276" w:lineRule="auto"/>
        <w:ind w:firstLine="720"/>
        <w:jc w:val="both"/>
      </w:pPr>
      <w:r>
        <w:rPr>
          <w:rFonts w:ascii="Times New Roman" w:hAnsi="Times New Roman"/>
          <w:b w:val="0"/>
          <w:i w:val="0"/>
          <w:sz w:val="24"/>
        </w:rPr>
        <w:t>Socket.IO serves as the real-time communication layer connecting the frontend and backend. When a technician uploads new QC telemetry, the parsing service extracts DIN and concentration metrics to compute pass/fail gating. Similarly, milestone updates and sequencing completions trigger real-time notifications through Socket.IO events. This modular architecture ensures clean separation of concerns across routes, controllers, and services.</w:t>
      </w:r>
    </w:p>
    <w:p>
      <w:pPr>
        <w:spacing w:before="0" w:after="120" w:line="276" w:lineRule="auto"/>
        <w:ind w:firstLine="720"/>
        <w:jc w:val="both"/>
      </w:pPr>
      <w:r>
        <w:rPr>
          <w:rFonts w:ascii="Times New Roman" w:hAnsi="Times New Roman"/>
          <w:b w:val="0"/>
          <w:i w:val="0"/>
          <w:sz w:val="24"/>
        </w:rPr>
        <w:t>MongoDB serves as the primary database for all application data including user profiles, specimen requisitions, QC measurements, sequencing runs, audit logs, and diagnostic reports. Mongoose ODM provides schema validation, middleware hooks (such as pre-save password hashing and audit hashing), and relationship population across collections. Socket.IO connections managed by the Express server enable real-time messaging and instant push notifications.</w:t>
      </w:r>
    </w:p>
    <w:p>
      <w:pPr>
        <w:spacing w:before="0" w:after="0" w:line="276" w:lineRule="auto"/>
        <w:ind w:firstLine="720"/>
        <w:jc w:val="both"/>
      </w:pPr>
      <w:r>
        <w:rPr>
          <w:rFonts w:ascii="Times New Roman" w:hAnsi="Times New Roman"/>
          <w:b w:val="0"/>
          <w:i w:val="0"/>
          <w:sz w:val="24"/>
        </w:rPr>
        <w:t>The application is structured as a monorepo with separate client and server directories. The client is built using Vite with hot module replacement for rapid development, while the server uses Nodemon for automatic restart on file changes. Concurrently runs both the frontend dev server (port 5173) and the backend API server</w:t>
      </w:r>
    </w:p>
    <w:p>
      <w:r>
        <w:br w:type="page"/>
      </w:r>
    </w:p>
    <w:p>
      <w:pPr>
        <w:spacing w:before="0" w:after="120" w:line="276" w:lineRule="auto"/>
        <w:ind w:firstLine="720"/>
        <w:jc w:val="both"/>
      </w:pPr>
      <w:r>
        <w:rPr>
          <w:rFonts w:ascii="Times New Roman" w:hAnsi="Times New Roman"/>
          <w:b w:val="0"/>
          <w:i w:val="0"/>
          <w:sz w:val="24"/>
        </w:rPr>
        <w:t>(port 5000) simultaneously during development. MongoDB Atlas or a local MongoDB instance provides persistent data storage.</w:t>
      </w:r>
    </w:p>
    <w:p>
      <w:pPr>
        <w:spacing w:before="40" w:after="40"/>
        <w:ind w:firstLine="0"/>
        <w:jc w:val="center"/>
      </w:pPr>
      <w:r>
        <w:drawing>
          <wp:inline xmlns:a="http://schemas.openxmlformats.org/drawingml/2006/main" xmlns:pic="http://schemas.openxmlformats.org/drawingml/2006/picture">
            <wp:extent cx="4023360" cy="2514600"/>
            <wp:docPr id="4" name="Picture 4"/>
            <wp:cNvGraphicFramePr>
              <a:graphicFrameLocks noChangeAspect="1"/>
            </wp:cNvGraphicFramePr>
            <a:graphic>
              <a:graphicData uri="http://schemas.openxmlformats.org/drawingml/2006/picture">
                <pic:pic>
                  <pic:nvPicPr>
                    <pic:cNvPr id="0" name="Fig_4.1_System_Architecture.png"/>
                    <pic:cNvPicPr/>
                  </pic:nvPicPr>
                  <pic:blipFill>
                    <a:blip r:embed="rId14"/>
                    <a:stretch>
                      <a:fillRect/>
                    </a:stretch>
                  </pic:blipFill>
                  <pic:spPr>
                    <a:xfrm>
                      <a:off x="0" y="0"/>
                      <a:ext cx="4023360" cy="2514600"/>
                    </a:xfrm>
                    <a:prstGeom prst="rect"/>
                  </pic:spPr>
                </pic:pic>
              </a:graphicData>
            </a:graphic>
          </wp:inline>
        </w:drawing>
      </w:r>
    </w:p>
    <w:p>
      <w:pPr>
        <w:spacing w:before="120" w:after="80" w:line="276" w:lineRule="auto"/>
        <w:ind w:firstLine="0"/>
        <w:jc w:val="left"/>
      </w:pPr>
      <w:r>
        <w:rPr>
          <w:rFonts w:ascii="Times New Roman" w:hAnsi="Times New Roman"/>
          <w:b/>
          <w:sz w:val="28"/>
        </w:rPr>
        <w:t>4.2 MODULE DESCRIPTION</w:t>
      </w:r>
    </w:p>
    <w:p>
      <w:pPr>
        <w:spacing w:before="0" w:after="120" w:line="276" w:lineRule="auto"/>
        <w:ind w:firstLine="720"/>
        <w:jc w:val="both"/>
      </w:pPr>
      <w:r>
        <w:rPr>
          <w:rFonts w:ascii="Times New Roman" w:hAnsi="Times New Roman"/>
          <w:b w:val="0"/>
          <w:i w:val="0"/>
          <w:sz w:val="24"/>
        </w:rPr>
        <w:t>The User Management Module handles staff registration, authentication using JWT tokens, profile management, and role-based access control. Supervisors can assign specific laboratory privileges (Accessioning Tech, Molecular Biologist, Bioinformatician, Pathologist, Lab Director) to enforce separation of clinical duties. The module implements JWT-based authentication with bcrypt password hashing for secure credential management.</w:t>
      </w:r>
    </w:p>
    <w:p>
      <w:pPr>
        <w:spacing w:before="0" w:after="0" w:line="276" w:lineRule="auto"/>
        <w:ind w:firstLine="720"/>
        <w:jc w:val="both"/>
      </w:pPr>
      <w:r>
        <w:rPr>
          <w:rFonts w:ascii="Times New Roman" w:hAnsi="Times New Roman"/>
          <w:b w:val="0"/>
          <w:i w:val="0"/>
          <w:sz w:val="24"/>
        </w:rPr>
        <w:t>The Automated Telemetry Ingestion Module is the core analytical layer of the platform. It processes Agilent TapeStation CSV files and Qubit fluorometric data to extract nucleic acid quality metrics. The gating algorithm evaluates sample integrity using multi-factor clinical thresholds: DNA Integrity Number (DIN &gt;= 7.0 for solid tissue), concentration thresholds (&gt;= 15 ng/uL), and optical purity ratios (A260/A280 between 1.8 and 2.0).</w:t>
      </w:r>
    </w:p>
    <w:p>
      <w:r>
        <w:br w:type="page"/>
      </w:r>
    </w:p>
    <w:p>
      <w:pPr>
        <w:spacing w:before="0" w:after="120" w:line="276" w:lineRule="auto"/>
        <w:ind w:firstLine="720"/>
        <w:jc w:val="both"/>
      </w:pPr>
      <w:r>
        <w:rPr>
          <w:rFonts w:ascii="Times New Roman" w:hAnsi="Times New Roman"/>
          <w:b w:val="0"/>
          <w:i w:val="0"/>
          <w:sz w:val="24"/>
        </w:rPr>
        <w:t>yield scores using logarithmic scaling (20%), performance scores combining coverage depth and library complexity (25%), and flow cell fit based on required read depth (15%).</w:t>
      </w:r>
    </w:p>
    <w:p>
      <w:pPr>
        <w:spacing w:before="0" w:after="120" w:line="276" w:lineRule="auto"/>
        <w:ind w:firstLine="720"/>
        <w:jc w:val="both"/>
      </w:pPr>
      <w:r>
        <w:rPr>
          <w:rFonts w:ascii="Times New Roman" w:hAnsi="Times New Roman"/>
          <w:b w:val="0"/>
          <w:i w:val="0"/>
          <w:sz w:val="24"/>
        </w:rPr>
        <w:t>The Specimen Accessioning and Requisition Module manages the complete lifecycle of clinical sample intake. Technicians record patient MRN, anatomical site, tumor purity, and ordering clinician details. Unique 2D DataMatrix barcodes are automatically generated, linking physical collection tubes directly to physical storage rack and shelf coordinates in cryogenic minus 80 degree Celsius freezers.</w:t>
      </w:r>
    </w:p>
    <w:p>
      <w:pPr>
        <w:spacing w:before="0" w:after="120" w:line="276" w:lineRule="auto"/>
        <w:ind w:firstLine="720"/>
        <w:jc w:val="both"/>
      </w:pPr>
      <w:r>
        <w:rPr>
          <w:rFonts w:ascii="Times New Roman" w:hAnsi="Times New Roman"/>
          <w:b w:val="0"/>
          <w:i w:val="0"/>
          <w:sz w:val="24"/>
        </w:rPr>
        <w:t>The Milestone Tracking Module enables structured workflow execution through defined phases with clear deliverables and acceptance criteria. Each specimen progresses through 6 deterministic states: Accessioned, Library Prep, Sequencing Execution, Bioinformatic Analysis, Clinical Review, and Signed Out. Automated notifications alert stakeholders of state transitions, impending turnaround deadlines, and failed QC gating.</w:t>
      </w:r>
    </w:p>
    <w:p>
      <w:pPr>
        <w:spacing w:before="0" w:after="0" w:line="276" w:lineRule="auto"/>
        <w:ind w:firstLine="720"/>
        <w:jc w:val="both"/>
      </w:pPr>
      <w:r>
        <w:rPr>
          <w:rFonts w:ascii="Times New Roman" w:hAnsi="Times New Roman"/>
          <w:b w:val="0"/>
          <w:i w:val="0"/>
          <w:sz w:val="24"/>
        </w:rPr>
        <w:t>The Flow Cell Batching and Demultiplexing Module manages Illumina NovaSeq and NextSeq run assembly. When a pool is assembled, the system verifies dual-index compatibility across i5/i7 adapter sequences to prevent barcode collision during bioinformatic demultiplexing. The module generates validated Illumina Sample Sheets, logs flow cell IDs, and initiates run tracking with complete audit integrity.</w:t>
      </w:r>
    </w:p>
    <w:p>
      <w:r>
        <w:br w:type="page"/>
      </w:r>
    </w:p>
    <w:p>
      <w:pPr>
        <w:spacing w:before="280" w:after="120" w:line="276" w:lineRule="auto"/>
        <w:ind w:firstLine="0"/>
        <w:jc w:val="left"/>
      </w:pPr>
      <w:r>
        <w:rPr>
          <w:rFonts w:ascii="Times New Roman" w:hAnsi="Times New Roman"/>
          <w:b/>
          <w:sz w:val="28"/>
        </w:rPr>
        <w:t>4.3 CLASS DIAGRAM</w:t>
      </w:r>
    </w:p>
    <w:p>
      <w:pPr>
        <w:spacing w:before="120" w:after="80"/>
        <w:ind w:firstLine="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Fig_4.2_UML_Class_Diagram.png"/>
                    <pic:cNvPicPr/>
                  </pic:nvPicPr>
                  <pic:blipFill>
                    <a:blip r:embed="rId15"/>
                    <a:stretch>
                      <a:fillRect/>
                    </a:stretch>
                  </pic:blipFill>
                  <pic:spPr>
                    <a:xfrm>
                      <a:off x="0" y="0"/>
                      <a:ext cx="4937760" cy="3086100"/>
                    </a:xfrm>
                    <a:prstGeom prst="rect"/>
                  </pic:spPr>
                </pic:pic>
              </a:graphicData>
            </a:graphic>
          </wp:inline>
        </w:drawing>
      </w:r>
    </w:p>
    <w:p>
      <w:r>
        <w:br w:type="page"/>
      </w:r>
    </w:p>
    <w:p>
      <w:pPr>
        <w:spacing w:before="280" w:after="120" w:line="276" w:lineRule="auto"/>
        <w:ind w:firstLine="0"/>
        <w:jc w:val="left"/>
      </w:pPr>
      <w:r>
        <w:rPr>
          <w:rFonts w:ascii="Times New Roman" w:hAnsi="Times New Roman"/>
          <w:b/>
          <w:sz w:val="28"/>
        </w:rPr>
        <w:t>4.4 SEQUENCE DIAGRAM</w:t>
      </w:r>
    </w:p>
    <w:p>
      <w:pPr>
        <w:spacing w:before="120" w:after="80"/>
        <w:ind w:firstLine="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Fig_4.3_UML_Sequence_Diagram.png"/>
                    <pic:cNvPicPr/>
                  </pic:nvPicPr>
                  <pic:blipFill>
                    <a:blip r:embed="rId16"/>
                    <a:stretch>
                      <a:fillRect/>
                    </a:stretch>
                  </pic:blipFill>
                  <pic:spPr>
                    <a:xfrm>
                      <a:off x="0" y="0"/>
                      <a:ext cx="4937760" cy="3086100"/>
                    </a:xfrm>
                    <a:prstGeom prst="rect"/>
                  </pic:spPr>
                </pic:pic>
              </a:graphicData>
            </a:graphic>
          </wp:inline>
        </w:drawing>
      </w:r>
    </w:p>
    <w:p>
      <w:r>
        <w:br w:type="page"/>
      </w:r>
    </w:p>
    <w:p>
      <w:pPr>
        <w:spacing w:before="240" w:after="80" w:line="276" w:lineRule="auto"/>
        <w:ind w:firstLine="0"/>
        <w:jc w:val="center"/>
      </w:pPr>
      <w:r>
        <w:rPr>
          <w:rFonts w:ascii="Times New Roman" w:hAnsi="Times New Roman"/>
          <w:b/>
          <w:sz w:val="32"/>
        </w:rPr>
        <w:t>CHAPTER 5</w:t>
      </w:r>
    </w:p>
    <w:p>
      <w:pPr>
        <w:spacing w:before="0" w:after="200" w:line="276" w:lineRule="auto"/>
        <w:ind w:firstLine="0"/>
        <w:jc w:val="center"/>
      </w:pPr>
      <w:r>
        <w:rPr>
          <w:rFonts w:ascii="Times New Roman" w:hAnsi="Times New Roman"/>
          <w:b/>
          <w:sz w:val="32"/>
        </w:rPr>
        <w:t>RESULTS AND DISCUSSION</w:t>
      </w:r>
    </w:p>
    <w:p>
      <w:pPr>
        <w:spacing w:before="0" w:after="160" w:line="276" w:lineRule="auto"/>
        <w:ind w:firstLine="720"/>
        <w:jc w:val="both"/>
      </w:pPr>
      <w:r>
        <w:rPr>
          <w:rFonts w:ascii="Times New Roman" w:hAnsi="Times New Roman"/>
          <w:b w:val="0"/>
          <w:i w:val="0"/>
          <w:sz w:val="24"/>
        </w:rPr>
        <w:t>This chapter deals with the implementation overview, key functions, and code explanations of the Genomics Laboratory Sequencing Workflow Management System.</w:t>
      </w:r>
    </w:p>
    <w:p>
      <w:pPr>
        <w:spacing w:before="200" w:after="80" w:line="276" w:lineRule="auto"/>
        <w:ind w:firstLine="0"/>
        <w:jc w:val="left"/>
      </w:pPr>
      <w:r>
        <w:rPr>
          <w:rFonts w:ascii="Times New Roman" w:hAnsi="Times New Roman"/>
          <w:b/>
          <w:sz w:val="28"/>
        </w:rPr>
        <w:t>5.1 IMPLEMENTATION OVERVIEW</w:t>
      </w:r>
    </w:p>
    <w:p>
      <w:pPr>
        <w:spacing w:before="0" w:after="120" w:line="276" w:lineRule="auto"/>
        <w:ind w:firstLine="720"/>
        <w:jc w:val="both"/>
      </w:pPr>
      <w:r>
        <w:rPr>
          <w:rFonts w:ascii="Times New Roman" w:hAnsi="Times New Roman"/>
          <w:b w:val="0"/>
          <w:i w:val="0"/>
          <w:sz w:val="24"/>
        </w:rPr>
        <w:t>The implementation of the Genomics Laboratory Sequencing Workflow Management System followed an agile development methodology with two-week sprint cycles. The development began with setting up the foundational infrastructure including MongoDB connection configuration, Mongoose schema definitions, Express route mappings, and Socket.IO event handlers. JWT authentication middleware was configured to secure all protected backend API endpoints.</w:t>
      </w:r>
    </w:p>
    <w:p>
      <w:pPr>
        <w:spacing w:before="0" w:after="120" w:line="276" w:lineRule="auto"/>
        <w:ind w:firstLine="720"/>
        <w:jc w:val="both"/>
      </w:pPr>
      <w:r>
        <w:rPr>
          <w:rFonts w:ascii="Times New Roman" w:hAnsi="Times New Roman"/>
          <w:b w:val="0"/>
          <w:i w:val="0"/>
          <w:sz w:val="24"/>
        </w:rPr>
        <w:t>The frontend application was developed using React 18 with JSX, utilizing a component-based architecture with reusable UI elements for specimen cards, requisition intake forms, QC status badges, flow cell pool tables, and analytics charts. State management was handled through React Context API (AuthContext and SocketContext), with real-time updates delivered via Socket.IO connections. The responsive design ensures optimal user experience across desktop laboratory workstations and tablet displays using Tailwind CSS utility classes.</w:t>
      </w:r>
    </w:p>
    <w:p>
      <w:pPr>
        <w:spacing w:before="0" w:after="120" w:line="276" w:lineRule="auto"/>
        <w:ind w:firstLine="720"/>
        <w:jc w:val="both"/>
      </w:pPr>
      <w:r>
        <w:rPr>
          <w:rFonts w:ascii="Times New Roman" w:hAnsi="Times New Roman"/>
          <w:b w:val="0"/>
          <w:i w:val="0"/>
          <w:sz w:val="24"/>
        </w:rPr>
        <w:t>Backend functionality was implemented as Express route modules, each with its own controller logic and Mongoose model interactions. The auth routes implement JWT-based authentication with bcrypt password hashing, the specimen routes handle CRUD operations for clinical samples, and the telemetry service runs the Agilent TapeStation CSV ingestion engine. Real-time communication occurs through Socket.IO events for instant QC alerts and workflow milestone broadcasts.</w:t>
      </w:r>
    </w:p>
    <w:p>
      <w:pPr>
        <w:spacing w:before="0" w:after="120" w:line="276" w:lineRule="auto"/>
        <w:ind w:firstLine="720"/>
        <w:jc w:val="both"/>
      </w:pPr>
      <w:r>
        <w:rPr>
          <w:rFonts w:ascii="Times New Roman" w:hAnsi="Times New Roman"/>
          <w:b w:val="0"/>
          <w:i w:val="0"/>
          <w:sz w:val="24"/>
        </w:rPr>
        <w:t>The telemetry parsing engine reads exported TapeStation and Qubit data to compute real-time quality gating scores. The algorithm combines DIN threshold analysis with exact concentration checks, volume verification, and flow cell multiplexing optimization. The multi-factor evaluation produces deterministic Pass/Fail flags with results displayed directly on the laboratory dashboard.</w:t>
      </w:r>
    </w:p>
    <w:p>
      <w:pPr>
        <w:spacing w:before="0" w:after="0" w:line="276" w:lineRule="auto"/>
        <w:ind w:firstLine="720"/>
        <w:jc w:val="both"/>
      </w:pPr>
      <w:r>
        <w:rPr>
          <w:rFonts w:ascii="Times New Roman" w:hAnsi="Times New Roman"/>
          <w:b w:val="0"/>
          <w:i w:val="0"/>
          <w:sz w:val="24"/>
        </w:rPr>
        <w:t>The reporting integration was implemented using the HL7 FHIR Genomics standard for structured molecular reports. Variant classifications were structured with</w:t>
      </w:r>
    </w:p>
    <w:p>
      <w:r>
        <w:br w:type="page"/>
      </w:r>
    </w:p>
    <w:p>
      <w:pPr>
        <w:spacing w:before="0" w:after="200" w:line="276" w:lineRule="auto"/>
        <w:ind w:firstLine="720"/>
        <w:jc w:val="both"/>
      </w:pPr>
      <w:r>
        <w:rPr>
          <w:rFonts w:ascii="Times New Roman" w:hAnsi="Times New Roman"/>
          <w:b w:val="0"/>
          <w:i w:val="0"/>
          <w:sz w:val="24"/>
        </w:rPr>
        <w:t>Mongoose models, tracking statuses of Accessioned, Library Prep, Sequencing, Analysis, Review, and Signed Out for each clinical sample. The reporting service manages the lifecycle of diagnostic findings from primary sequencing through bioinformatic variant calling to pathologist sign-out, with complete transaction history maintained in the database.</w:t>
      </w:r>
    </w:p>
    <w:p>
      <w:pPr>
        <w:spacing w:before="200" w:after="80" w:line="276" w:lineRule="auto"/>
        <w:ind w:firstLine="0"/>
        <w:jc w:val="left"/>
      </w:pPr>
      <w:r>
        <w:rPr>
          <w:rFonts w:ascii="Times New Roman" w:hAnsi="Times New Roman"/>
          <w:b/>
          <w:sz w:val="28"/>
        </w:rPr>
        <w:t>5.2 KEY FUNCTIONS (CODE EXPLANATION)</w:t>
      </w:r>
    </w:p>
    <w:p>
      <w:pPr>
        <w:spacing w:before="0" w:after="120" w:line="276" w:lineRule="auto"/>
        <w:ind w:firstLine="720"/>
        <w:jc w:val="both"/>
      </w:pPr>
      <w:r>
        <w:rPr>
          <w:rFonts w:ascii="Times New Roman" w:hAnsi="Times New Roman"/>
          <w:b w:val="0"/>
          <w:i w:val="0"/>
          <w:sz w:val="24"/>
        </w:rPr>
        <w:t>The telemetry ingestion function evaluates uploaded TapeStation files against registered specimens in MongoDB. It computes a quality score by parsing DIN metrics and nucleic acid concentrations from raw instrument CSV exports. Results are evaluated against clinical thresholds, flagged with automated status flags, and updated in database records before notifying laboratory personnel.</w:t>
      </w:r>
    </w:p>
    <w:p>
      <w:pPr>
        <w:spacing w:before="0" w:after="120" w:line="276" w:lineRule="auto"/>
        <w:ind w:firstLine="720"/>
        <w:jc w:val="both"/>
      </w:pPr>
      <w:r>
        <w:rPr>
          <w:rFonts w:ascii="Times New Roman" w:hAnsi="Times New Roman"/>
          <w:b w:val="0"/>
          <w:i w:val="0"/>
          <w:sz w:val="24"/>
        </w:rPr>
        <w:t>The flow cell allocation handler manages the lifecycle of sequencing runs. Upon pool creation, a run record is created in MongoDB with Ready status. Dual-index collision checking validates adapter barcode combinations across multiplexed patient libraries, while failed indices trigger automated holds pending re-assignment.</w:t>
      </w:r>
    </w:p>
    <w:p>
      <w:pPr>
        <w:spacing w:before="0" w:after="120" w:line="276" w:lineRule="auto"/>
        <w:ind w:firstLine="720"/>
        <w:jc w:val="both"/>
      </w:pPr>
      <w:r>
        <w:rPr>
          <w:rFonts w:ascii="Times New Roman" w:hAnsi="Times New Roman"/>
          <w:b w:val="0"/>
          <w:i w:val="0"/>
          <w:sz w:val="24"/>
        </w:rPr>
        <w:t>The Socket.IO telemetry handler establishes real-time bidirectional messaging channels upon user connection. Status updates are persisted to MongoDB via AuditLog models and broadcast to active channel participants with instant delivery guarantees.</w:t>
      </w:r>
    </w:p>
    <w:p>
      <w:pPr>
        <w:spacing w:before="0" w:after="120" w:line="276" w:lineRule="auto"/>
        <w:ind w:firstLine="720"/>
        <w:jc w:val="both"/>
      </w:pPr>
      <w:r>
        <w:rPr>
          <w:rFonts w:ascii="Times New Roman" w:hAnsi="Times New Roman"/>
          <w:b w:val="0"/>
          <w:i w:val="0"/>
          <w:sz w:val="24"/>
        </w:rPr>
        <w:t>The milestone state machine manages transitions based on clinical user events. Library preparation submissions transition states from Accessioned to Library Prep with quality verification. Pathologist approval triggers report finalization, while QC gating failures trigger re-extraction workflows and dispute logging.</w:t>
      </w:r>
    </w:p>
    <w:p>
      <w:pPr>
        <w:spacing w:before="0" w:after="0" w:line="276" w:lineRule="auto"/>
        <w:ind w:firstLine="720"/>
        <w:jc w:val="both"/>
      </w:pPr>
      <w:r>
        <w:rPr>
          <w:rFonts w:ascii="Times New Roman" w:hAnsi="Times New Roman"/>
          <w:b w:val="0"/>
          <w:i w:val="0"/>
          <w:sz w:val="24"/>
        </w:rPr>
        <w:t>The dashboard aggregation function queries MongoDB using aggregation pipelines to compute laboratory metrics including active specimens, QC pass percentages, active flow cells, and turnaround times, delivering high-performance statistical summaries.</w:t>
      </w:r>
    </w:p>
    <w:p>
      <w:r>
        <w:br w:type="page"/>
      </w:r>
    </w:p>
    <w:p>
      <w:pPr>
        <w:spacing w:before="240" w:after="80" w:line="276" w:lineRule="auto"/>
        <w:ind w:firstLine="0"/>
        <w:jc w:val="center"/>
      </w:pPr>
      <w:r>
        <w:rPr>
          <w:rFonts w:ascii="Times New Roman" w:hAnsi="Times New Roman"/>
          <w:b/>
          <w:sz w:val="32"/>
        </w:rPr>
        <w:t>CHAPTER 6</w:t>
      </w:r>
    </w:p>
    <w:p>
      <w:pPr>
        <w:spacing w:before="0" w:after="200" w:line="276" w:lineRule="auto"/>
        <w:ind w:firstLine="0"/>
        <w:jc w:val="center"/>
      </w:pPr>
      <w:r>
        <w:rPr>
          <w:rFonts w:ascii="Times New Roman" w:hAnsi="Times New Roman"/>
          <w:b/>
          <w:sz w:val="32"/>
        </w:rPr>
        <w:t>CONCLUSION &amp; FUTURE WORK</w:t>
      </w:r>
    </w:p>
    <w:p>
      <w:pPr>
        <w:spacing w:before="0" w:after="160" w:line="276" w:lineRule="auto"/>
        <w:ind w:firstLine="720"/>
        <w:jc w:val="both"/>
      </w:pPr>
      <w:r>
        <w:rPr>
          <w:rFonts w:ascii="Times New Roman" w:hAnsi="Times New Roman"/>
          <w:b w:val="0"/>
          <w:i w:val="0"/>
          <w:sz w:val="24"/>
        </w:rPr>
        <w:t>This chapter deals with the conclusions drawn from the project and identifies potential future enhancements for the Genomics Laboratory Sequencing Workflow Management System.</w:t>
      </w:r>
    </w:p>
    <w:p>
      <w:pPr>
        <w:spacing w:before="200" w:after="80" w:line="276" w:lineRule="auto"/>
        <w:ind w:firstLine="0"/>
        <w:jc w:val="left"/>
      </w:pPr>
      <w:r>
        <w:rPr>
          <w:rFonts w:ascii="Times New Roman" w:hAnsi="Times New Roman"/>
          <w:b/>
          <w:sz w:val="28"/>
        </w:rPr>
        <w:t>6.1 CONCLUSION</w:t>
      </w:r>
    </w:p>
    <w:p>
      <w:pPr>
        <w:spacing w:before="0" w:after="120" w:line="276" w:lineRule="auto"/>
        <w:ind w:firstLine="720"/>
        <w:jc w:val="both"/>
      </w:pPr>
      <w:r>
        <w:rPr>
          <w:rFonts w:ascii="Times New Roman" w:hAnsi="Times New Roman"/>
          <w:b w:val="0"/>
          <w:i w:val="0"/>
          <w:sz w:val="24"/>
        </w:rPr>
        <w:t>The Genomics Laboratory Sequencing Workflow Management System successfully demonstrates how modern software architecture and real-time web technologies can transform molecular diagnostic operations. The automated telemetry parsing engine, powered by microfluidic log parsers and deterministic gating algorithms, significantly reduces the time laboratory staff spend verifying quality metrics by providing instant, automated evaluations. The system demonstrates strong ability to safeguard sequencing flow cells against degraded or contaminated libraries.</w:t>
      </w:r>
    </w:p>
    <w:p>
      <w:pPr>
        <w:spacing w:before="0" w:after="120" w:line="276" w:lineRule="auto"/>
        <w:ind w:firstLine="720"/>
        <w:jc w:val="both"/>
      </w:pPr>
      <w:r>
        <w:rPr>
          <w:rFonts w:ascii="Times New Roman" w:hAnsi="Times New Roman"/>
          <w:b w:val="0"/>
          <w:i w:val="0"/>
          <w:sz w:val="24"/>
        </w:rPr>
        <w:t>The integrated real-time messaging system eliminates the need for external communication tools, centralizing all specimen-related conversations and alerts within the platform. The milestone tracking module provides structured workflow execution with clear deliverables and automated progress notifications, reducing sample mix-ups and improving turnaround times. The flow cell batching module ensures index integrity, with automated collision checks and structured demultiplexing validation.</w:t>
      </w:r>
    </w:p>
    <w:p>
      <w:pPr>
        <w:spacing w:before="0" w:after="120" w:line="276" w:lineRule="auto"/>
        <w:ind w:firstLine="720"/>
        <w:jc w:val="both"/>
      </w:pPr>
      <w:r>
        <w:rPr>
          <w:rFonts w:ascii="Times New Roman" w:hAnsi="Times New Roman"/>
          <w:b w:val="0"/>
          <w:i w:val="0"/>
          <w:sz w:val="24"/>
        </w:rPr>
        <w:t>The real-time architecture built on Socket.IO demonstrated the ability to handle concurrent event processing, supporting instant telemetry broadcasting and notification delivery between laboratory workstations. MongoDB provided flexible, schema-validated document storage for all platform data. The modular Express.js backend with Mongoose ODM ensures maintainable, well-structured code that can be readily deployed on cloud platforms.</w:t>
      </w:r>
    </w:p>
    <w:p>
      <w:pPr>
        <w:spacing w:before="0" w:after="0" w:line="276" w:lineRule="auto"/>
        <w:ind w:firstLine="720"/>
        <w:jc w:val="both"/>
      </w:pPr>
      <w:r>
        <w:rPr>
          <w:rFonts w:ascii="Times New Roman" w:hAnsi="Times New Roman"/>
          <w:b w:val="0"/>
          <w:i w:val="0"/>
          <w:sz w:val="24"/>
        </w:rPr>
        <w:t>The transparent audit logging system, with verified cryptographic hashes linked to completed clinical actions, effectively builds trust and guarantees regulatory compliance under ISO 15189:2022. Automated tracking of workflow transitions further enhances the integrity of clinical reports. The combination of automated gating, secure batching, and standardized FHIR exports creates a virtuous cycle that improves diagnostic quality and turnaround efficiency.</w:t>
      </w:r>
    </w:p>
    <w:p>
      <w:r>
        <w:br w:type="page"/>
      </w:r>
    </w:p>
    <w:p>
      <w:pPr>
        <w:spacing w:before="0" w:after="200" w:line="276" w:lineRule="auto"/>
        <w:ind w:firstLine="720"/>
        <w:jc w:val="both"/>
      </w:pPr>
      <w:r>
        <w:rPr>
          <w:rFonts w:ascii="Times New Roman" w:hAnsi="Times New Roman"/>
          <w:b w:val="0"/>
          <w:i w:val="0"/>
          <w:sz w:val="24"/>
        </w:rPr>
        <w:t>In summary, the project validates the hypothesis that automated telemetry parsing, integrated collaboration tools, structured milestone management, and standardized genomic serialization can collectively address the fundamental challenges in clinical molecular laboratories. The platform provides a production-ready foundation that can be deployed and scaled to serve a growing clinical volume across multiple diagnostic panels and hospital networks.</w:t>
      </w:r>
    </w:p>
    <w:p>
      <w:pPr>
        <w:spacing w:before="200" w:after="80" w:line="276" w:lineRule="auto"/>
        <w:ind w:firstLine="0"/>
        <w:jc w:val="left"/>
      </w:pPr>
      <w:r>
        <w:rPr>
          <w:rFonts w:ascii="Times New Roman" w:hAnsi="Times New Roman"/>
          <w:b/>
          <w:sz w:val="28"/>
        </w:rPr>
        <w:t>6.2 FUTURE ENHANCEMENTS</w:t>
      </w:r>
    </w:p>
    <w:p>
      <w:pPr>
        <w:spacing w:before="0" w:after="120" w:line="276" w:lineRule="auto"/>
        <w:ind w:firstLine="720"/>
        <w:jc w:val="both"/>
      </w:pPr>
      <w:r>
        <w:rPr>
          <w:rFonts w:ascii="Times New Roman" w:hAnsi="Times New Roman"/>
          <w:b w:val="0"/>
          <w:i w:val="0"/>
          <w:sz w:val="24"/>
        </w:rPr>
        <w:t>Future enhancements include advanced robotic liquid handler integration for automated DNA/RNA extraction and library preparation using SiLA 2 standards, supporting multi-instrument automation and automated plate transfers.</w:t>
      </w:r>
    </w:p>
    <w:p>
      <w:pPr>
        <w:spacing w:before="0" w:after="120" w:line="276" w:lineRule="auto"/>
        <w:ind w:firstLine="720"/>
        <w:jc w:val="both"/>
      </w:pPr>
      <w:r>
        <w:rPr>
          <w:rFonts w:ascii="Times New Roman" w:hAnsi="Times New Roman"/>
          <w:b w:val="0"/>
          <w:i w:val="0"/>
          <w:sz w:val="24"/>
        </w:rPr>
        <w:t>The variant interpretation module can incorporate machine learning models that dynamically predict variant pathogenicity based on historical clinical outcomes. Integrating ACMG/AMP classification engines, ClinVar annotations, and structural impact predictions will further refine somatic variant scoring beyond static databases.</w:t>
      </w:r>
    </w:p>
    <w:p>
      <w:pPr>
        <w:spacing w:before="0" w:after="120" w:line="276" w:lineRule="auto"/>
        <w:ind w:firstLine="720"/>
        <w:jc w:val="both"/>
      </w:pPr>
      <w:r>
        <w:rPr>
          <w:rFonts w:ascii="Times New Roman" w:hAnsi="Times New Roman"/>
          <w:b w:val="0"/>
          <w:i w:val="0"/>
          <w:sz w:val="24"/>
        </w:rPr>
        <w:t>Native mobile applications for iOS and Android built with React Native will extend platform access for on-the-go requisition review, real-time instrument alerts, push notifications, and remote emergency sign-offs.</w:t>
      </w:r>
    </w:p>
    <w:p>
      <w:pPr>
        <w:spacing w:before="0" w:after="120" w:line="276" w:lineRule="auto"/>
        <w:ind w:firstLine="720"/>
        <w:jc w:val="both"/>
      </w:pPr>
      <w:r>
        <w:rPr>
          <w:rFonts w:ascii="Times New Roman" w:hAnsi="Times New Roman"/>
          <w:b w:val="0"/>
          <w:i w:val="0"/>
          <w:sz w:val="24"/>
        </w:rPr>
        <w:t>Global hospital enterprise features including automated bidirectional HL7 v2 / MLLP electronic health record connectivity, multi-site laboratory synchronization, and integration with hospital pathology systems such as Epic Beaker and Cerner Millennium will facilitate wide institutional adoption.</w:t>
      </w:r>
    </w:p>
    <w:p>
      <w:pPr>
        <w:spacing w:before="0" w:after="0" w:line="276" w:lineRule="auto"/>
        <w:ind w:firstLine="720"/>
        <w:jc w:val="both"/>
      </w:pPr>
      <w:r>
        <w:rPr>
          <w:rFonts w:ascii="Times New Roman" w:hAnsi="Times New Roman"/>
          <w:b w:val="0"/>
          <w:i w:val="0"/>
          <w:sz w:val="24"/>
        </w:rPr>
        <w:t>Advanced predictive turnaround time models, sequencing demand forecasting, and a public laboratory developer API will enable third-party integration of complementary bioinformatics pipelines and clinical workflows.</w:t>
      </w:r>
    </w:p>
    <w:p>
      <w:r>
        <w:br w:type="page"/>
      </w:r>
    </w:p>
    <w:p>
      <w:pPr>
        <w:spacing w:before="240" w:after="80" w:line="276" w:lineRule="auto"/>
        <w:ind w:firstLine="0"/>
        <w:jc w:val="center"/>
      </w:pPr>
      <w:r>
        <w:rPr>
          <w:rFonts w:ascii="Times New Roman" w:hAnsi="Times New Roman"/>
          <w:b/>
          <w:sz w:val="32"/>
        </w:rPr>
        <w:t>APPENDIX</w:t>
      </w:r>
    </w:p>
    <w:p>
      <w:pPr>
        <w:spacing w:before="0" w:after="120" w:line="276" w:lineRule="auto"/>
        <w:ind w:firstLine="0"/>
        <w:jc w:val="center"/>
      </w:pPr>
      <w:r>
        <w:rPr>
          <w:rFonts w:ascii="Times New Roman" w:hAnsi="Times New Roman"/>
          <w:b/>
          <w:sz w:val="32"/>
        </w:rPr>
        <w:t>SOURCE CODE:</w:t>
      </w:r>
    </w:p>
    <w:p>
      <w:pPr>
        <w:spacing w:before="80" w:after="40" w:line="276" w:lineRule="auto"/>
        <w:ind w:firstLine="0"/>
        <w:jc w:val="left"/>
      </w:pPr>
      <w:r>
        <w:rPr>
          <w:rFonts w:ascii="Times New Roman" w:hAnsi="Times New Roman"/>
          <w:b/>
          <w:sz w:val="28"/>
        </w:rPr>
        <w:t>1. Project Structure</w:t>
      </w:r>
    </w:p>
    <w:p>
      <w:pPr>
        <w:spacing w:before="40" w:after="40"/>
      </w:pPr>
      <w:r>
        <w:rPr>
          <w:rFonts w:ascii="Times New Roman" w:hAnsi="Times New Roman"/>
          <w:sz w:val="22"/>
        </w:rPr>
        <w:t>Project Folder Structure:</w:t>
      </w:r>
    </w:p>
    <w:p>
      <w:pPr>
        <w:spacing w:before="20" w:after="20" w:line="230" w:lineRule="exact"/>
        <w:ind w:firstLine="0"/>
        <w:jc w:val="left"/>
      </w:pPr>
      <w:r>
        <w:rPr>
          <w:rFonts w:ascii="Consolas" w:hAnsi="Consolas"/>
          <w:sz w:val="19"/>
        </w:rPr>
        <w:t>genomics-lims-workflow/</w:t>
        <w:br/>
        <w:t>|</w:t>
        <w:br/>
        <w:t>+-- server/</w:t>
        <w:br/>
        <w:t>|   +-- config/</w:t>
        <w:br/>
        <w:t>|   |   +-- db.js</w:t>
        <w:br/>
        <w:t>|   +-- controllers/</w:t>
        <w:br/>
        <w:t>|   |   +-- authController.js</w:t>
        <w:br/>
        <w:t>|   |   +-- specimenController.js</w:t>
        <w:br/>
        <w:t>|   |   +-- runController.js</w:t>
        <w:br/>
        <w:t>|   |   +-- telemetryController.js</w:t>
        <w:br/>
        <w:t>|   |   +-- reportController.js</w:t>
        <w:br/>
        <w:t>|   |   +-- userController.js</w:t>
        <w:br/>
        <w:t>|   +-- middleware/</w:t>
        <w:br/>
        <w:t>|   |   +-- auth.js</w:t>
        <w:br/>
        <w:t>|   |   +-- errorHandler.js</w:t>
        <w:br/>
        <w:t>|   +-- models/</w:t>
        <w:br/>
        <w:t>|   |   +-- User.js</w:t>
        <w:br/>
        <w:t>|   |   +-- Specimen.js</w:t>
        <w:br/>
        <w:t>|   |   +-- SequencingRun.js</w:t>
        <w:br/>
        <w:t>|   |   +-- Telemetry.js</w:t>
        <w:br/>
        <w:t>|   |   +-- AuditLog.js</w:t>
        <w:br/>
        <w:t>|   |   +-- ClinicalReport.js</w:t>
        <w:br/>
        <w:t>|   +-- routes/</w:t>
        <w:br/>
        <w:t>|   |   +-- auth.js</w:t>
        <w:br/>
        <w:t>|   |   +-- specimens.js</w:t>
        <w:br/>
        <w:t>|   |   +-- runs.js</w:t>
        <w:br/>
        <w:t>|   |   +-- telemetry.js</w:t>
        <w:br/>
        <w:t>|   |   +-- reports.js</w:t>
        <w:br/>
        <w:t>|   |   +-- users.js</w:t>
        <w:br/>
        <w:t>|   +-- services/</w:t>
        <w:br/>
        <w:t>|   |   +-- telemetryParser.js</w:t>
        <w:br/>
        <w:t>|   |   +-- batchingService.js</w:t>
        <w:br/>
        <w:t>|   |   +-- fhirSerializer.js</w:t>
        <w:br/>
        <w:t>|   +-- socket/</w:t>
        <w:br/>
        <w:t>|   |   +-- socketHandler.js</w:t>
        <w:br/>
        <w:t>|   +-- server.js</w:t>
        <w:br/>
        <w:t>|   +-- package.json</w:t>
        <w:br/>
        <w:t>|</w:t>
      </w:r>
    </w:p>
    <w:p>
      <w:r>
        <w:br w:type="page"/>
      </w:r>
    </w:p>
    <w:p>
      <w:pPr>
        <w:spacing w:before="20" w:after="20" w:line="230" w:lineRule="exact"/>
        <w:ind w:firstLine="0"/>
        <w:jc w:val="left"/>
      </w:pPr>
      <w:r>
        <w:rPr>
          <w:rFonts w:ascii="Consolas" w:hAnsi="Consolas"/>
          <w:sz w:val="19"/>
        </w:rPr>
        <w:t>+-- client/</w:t>
        <w:br/>
        <w:t>|   +-- src/</w:t>
        <w:br/>
        <w:t>|   |   +-- components/</w:t>
        <w:br/>
        <w:t>|   |   +-- context/</w:t>
        <w:br/>
        <w:t>|   |   +-- pages/</w:t>
        <w:br/>
        <w:t>|   |   +-- services/</w:t>
        <w:br/>
        <w:t>|   |   +-- App.jsx</w:t>
        <w:br/>
        <w:t>|   |   +-- main.jsx</w:t>
        <w:br/>
        <w:t>|   +-- package.json</w:t>
        <w:br/>
        <w:t>|   +-- vite.config.js</w:t>
        <w:br/>
        <w:t>|</w:t>
        <w:br/>
        <w:t>+-- package.json</w:t>
      </w:r>
    </w:p>
    <w:p>
      <w:pPr>
        <w:spacing w:before="80" w:after="40" w:line="276" w:lineRule="auto"/>
        <w:ind w:firstLine="0"/>
        <w:jc w:val="left"/>
      </w:pPr>
      <w:r>
        <w:rPr>
          <w:rFonts w:ascii="Times New Roman" w:hAnsi="Times New Roman"/>
          <w:b/>
          <w:sz w:val="28"/>
        </w:rPr>
        <w:t>2. Backend Package Installation (npm)</w:t>
      </w:r>
    </w:p>
    <w:p>
      <w:pPr>
        <w:spacing w:before="20" w:after="20" w:line="230" w:lineRule="exact"/>
        <w:ind w:firstLine="0"/>
        <w:jc w:val="left"/>
      </w:pPr>
      <w:r>
        <w:rPr>
          <w:rFonts w:ascii="Consolas" w:hAnsi="Consolas"/>
          <w:sz w:val="19"/>
        </w:rPr>
        <w:t>npm install express mongoose cors dotenv jsonwebtoken bcryptjs socket.io multer csv-parser</w:t>
        <w:br/>
        <w:t>npm install --save-dev nodemon</w:t>
        <w:br/>
        <w:t># Client dependencies (from client/ directory): npm install react react-dom react-router-dom axios socket.io-client lucide-react recharts</w:t>
      </w:r>
    </w:p>
    <w:p>
      <w:pPr>
        <w:spacing w:before="80" w:after="40" w:line="276" w:lineRule="auto"/>
        <w:ind w:firstLine="0"/>
        <w:jc w:val="left"/>
      </w:pPr>
      <w:r>
        <w:rPr>
          <w:rFonts w:ascii="Times New Roman" w:hAnsi="Times New Roman"/>
          <w:b/>
          <w:sz w:val="28"/>
        </w:rPr>
        <w:t>3. Database Connection (MongoDB)</w:t>
      </w:r>
    </w:p>
    <w:p>
      <w:pPr>
        <w:spacing w:before="20" w:after="20" w:line="230" w:lineRule="exact"/>
        <w:ind w:firstLine="0"/>
        <w:jc w:val="left"/>
      </w:pPr>
      <w:r>
        <w:rPr>
          <w:rFonts w:ascii="Consolas" w:hAnsi="Consolas"/>
          <w:sz w:val="19"/>
        </w:rPr>
        <w:t>// config/db.js</w:t>
        <w:br/>
        <w:t>const mongoose = require('mongoose');</w:t>
        <w:br/>
        <w:t>const connectDB = async () =&gt; {</w:t>
        <w:br/>
        <w:t xml:space="preserve">  try {</w:t>
        <w:br/>
        <w:t xml:space="preserve">    const conn = await mongoose.connect(process.env.MONGODB_URI);</w:t>
        <w:br/>
        <w:t xml:space="preserve">    console.log(`MongoDB Connected: ${conn.connection.host}`);</w:t>
        <w:br/>
        <w:t xml:space="preserve">  } catch (error) {</w:t>
        <w:br/>
        <w:t xml:space="preserve">    console.error(`Error connecting to MongoDB: ${error.message}`);</w:t>
        <w:br/>
        <w:t xml:space="preserve">    process.exit(1);</w:t>
        <w:br/>
        <w:t xml:space="preserve">  }</w:t>
        <w:br/>
        <w:t>};</w:t>
        <w:br/>
        <w:t>module.exports = connectDB;</w:t>
      </w:r>
    </w:p>
    <w:p>
      <w:pPr>
        <w:spacing w:before="80" w:after="40" w:line="276" w:lineRule="auto"/>
        <w:ind w:firstLine="0"/>
        <w:jc w:val="left"/>
      </w:pPr>
      <w:r>
        <w:rPr>
          <w:rFonts w:ascii="Times New Roman" w:hAnsi="Times New Roman"/>
          <w:b/>
          <w:sz w:val="28"/>
        </w:rPr>
        <w:t>4. Environment Variables</w:t>
      </w:r>
    </w:p>
    <w:p>
      <w:pPr>
        <w:spacing w:before="20" w:after="20" w:line="230" w:lineRule="exact"/>
        <w:ind w:firstLine="0"/>
        <w:jc w:val="left"/>
      </w:pPr>
      <w:r>
        <w:rPr>
          <w:rFonts w:ascii="Consolas" w:hAnsi="Consolas"/>
          <w:sz w:val="19"/>
        </w:rPr>
        <w:t># .env</w:t>
        <w:br/>
        <w:t># MongoDB</w:t>
        <w:br/>
        <w:t>MONGODB_URI=mongodb://localhost:27017/genomics-lims-workflow</w:t>
        <w:br/>
        <w:t># JWT Authentication</w:t>
        <w:br/>
        <w:t>JWT_SECRET=your-256-bit-clinical-secret-key-here</w:t>
        <w:br/>
        <w:t>JWT_EXPIRE=30d</w:t>
        <w:br/>
        <w:t># Instrument Ingestion Thresholds</w:t>
        <w:br/>
        <w:t>QC_DIN_THRESHOLD=7.0</w:t>
        <w:br/>
        <w:t>QC_CONC_THRESHOLD=15.0</w:t>
      </w:r>
    </w:p>
    <w:p>
      <w:r>
        <w:br w:type="page"/>
      </w:r>
    </w:p>
    <w:p>
      <w:pPr>
        <w:spacing w:before="120" w:after="40" w:line="276" w:lineRule="auto"/>
        <w:ind w:firstLine="0"/>
        <w:jc w:val="left"/>
      </w:pPr>
      <w:r>
        <w:rPr>
          <w:rFonts w:ascii="Times New Roman" w:hAnsi="Times New Roman"/>
          <w:b/>
          <w:sz w:val="28"/>
        </w:rPr>
        <w:t>5. User Model</w:t>
      </w:r>
    </w:p>
    <w:p>
      <w:pPr>
        <w:spacing w:before="20" w:after="20" w:line="230" w:lineRule="exact"/>
        <w:ind w:firstLine="0"/>
        <w:jc w:val="left"/>
      </w:pPr>
      <w:r>
        <w:rPr>
          <w:rFonts w:ascii="Consolas" w:hAnsi="Consolas"/>
          <w:sz w:val="19"/>
        </w:rPr>
        <w:t>// models/User.js</w:t>
        <w:br/>
        <w:t>const mongoose = require('mongoose');</w:t>
        <w:br/>
        <w:t>const bcrypt = require('bcryptjs');</w:t>
        <w:br/>
        <w:br/>
        <w:t>const userSchema = new mongoose.Schema({</w:t>
        <w:br/>
        <w:t xml:space="preserve">  name: { type: String, required: true },</w:t>
        <w:br/>
        <w:t xml:space="preserve">  email: { type: String, required: true, unique: true, lowercase: true },</w:t>
        <w:br/>
        <w:t xml:space="preserve">  password: { type: String, required: true, minlength: 6 },</w:t>
        <w:br/>
        <w:t xml:space="preserve">  role: { type: String, enum: ['Accessioner', 'Biologist', 'Bioinformatician', 'Pathologist', 'Director'], required: true },</w:t>
        <w:br/>
        <w:t xml:space="preserve">  department: { type: String, default: 'Molecular Diagnostics' },</w:t>
        <w:br/>
        <w:t xml:space="preserve">  badgeId: { type: String, required: true },</w:t>
        <w:br/>
        <w:t xml:space="preserve">  isActive: { type: Boolean, default: true },</w:t>
        <w:br/>
        <w:t xml:space="preserve">  createdAt: { type: Date, default: Date.now }</w:t>
        <w:br/>
        <w:t>});</w:t>
        <w:br/>
        <w:br/>
        <w:t>userSchema.index({ badgeId: 1 });</w:t>
        <w:br/>
        <w:t>userSchema.index({ role: 1 });</w:t>
        <w:br/>
        <w:br/>
        <w:t>// Hash password before saving</w:t>
        <w:br/>
        <w:t>userSchema.pre('save', async function(next) {</w:t>
        <w:br/>
        <w:t xml:space="preserve">  if (!this.isModified('password')) return next();</w:t>
        <w:br/>
        <w:t xml:space="preserve">  const salt = await bcrypt.genSalt(10);</w:t>
        <w:br/>
        <w:t xml:space="preserve">  this.password = await bcrypt.hash(this.password, salt);</w:t>
        <w:br/>
        <w:t>});</w:t>
        <w:br/>
        <w:br/>
        <w:t>// Match password method</w:t>
        <w:br/>
        <w:t>userSchema.methods.matchPassword = async function(enteredPassword) {</w:t>
        <w:br/>
        <w:t xml:space="preserve">  return await bcrypt.compare(enteredPassword, this.password);</w:t>
        <w:br/>
        <w:t>};</w:t>
        <w:br/>
        <w:br/>
        <w:t>module.exports = mongoose.model('User', userSchema);</w:t>
      </w:r>
    </w:p>
    <w:p>
      <w:pPr>
        <w:spacing w:before="80" w:after="40" w:line="276" w:lineRule="auto"/>
        <w:ind w:firstLine="0"/>
        <w:jc w:val="left"/>
      </w:pPr>
      <w:r>
        <w:rPr>
          <w:rFonts w:ascii="Times New Roman" w:hAnsi="Times New Roman"/>
          <w:b/>
          <w:sz w:val="28"/>
        </w:rPr>
        <w:t>6. Password Hashing and Registration</w:t>
      </w:r>
    </w:p>
    <w:p>
      <w:r>
        <w:br w:type="page"/>
      </w:r>
    </w:p>
    <w:p>
      <w:pPr>
        <w:spacing w:before="20" w:after="20" w:line="230" w:lineRule="exact"/>
        <w:ind w:firstLine="0"/>
        <w:jc w:val="left"/>
      </w:pPr>
      <w:r>
        <w:rPr>
          <w:rFonts w:ascii="Consolas" w:hAnsi="Consolas"/>
          <w:sz w:val="19"/>
        </w:rPr>
        <w:t>// routes/auth.js - Registration</w:t>
        <w:br/>
        <w:t>const express = require('express');</w:t>
        <w:br/>
        <w:t>const router = express.Router();</w:t>
        <w:br/>
        <w:t>const bcrypt = require('bcryptjs');</w:t>
        <w:br/>
        <w:t>const jwt = require('jsonwebtoken');</w:t>
        <w:br/>
        <w:t>const User = require('../models/User');</w:t>
        <w:br/>
        <w:br/>
        <w:t>// @route POST /api/auth/register</w:t>
        <w:br/>
        <w:t>// @desc Register a new laboratory user</w:t>
        <w:br/>
        <w:t>router.post('/register', async (req, res) =&gt; {</w:t>
        <w:br/>
        <w:t xml:space="preserve">  try {</w:t>
        <w:br/>
        <w:t xml:space="preserve">    const { name, email, password, role, badgeId } = req.body;</w:t>
        <w:br/>
        <w:t xml:space="preserve">    let user = await User.findOne({ email });</w:t>
        <w:br/>
        <w:t xml:space="preserve">    if (user) {</w:t>
        <w:br/>
        <w:t xml:space="preserve">      return res.status(400).json({ message: 'Email already registered' });</w:t>
        <w:br/>
        <w:t xml:space="preserve">    }</w:t>
        <w:br/>
        <w:t xml:space="preserve">    user = new User({ name, email, password, role, badgeId });</w:t>
        <w:br/>
        <w:t xml:space="preserve">    await user.save();</w:t>
        <w:br/>
        <w:t xml:space="preserve">    const token = jwt.sign(</w:t>
        <w:br/>
        <w:t xml:space="preserve">      { id: user._id, role: user.role },</w:t>
        <w:br/>
        <w:t xml:space="preserve">      process.env.JWT_SECRET,</w:t>
        <w:br/>
        <w:t xml:space="preserve">      { expiresIn: process.env.JWT_EXPIRE }</w:t>
        <w:br/>
        <w:t xml:space="preserve">    );</w:t>
        <w:br/>
        <w:t xml:space="preserve">    res.status(201).json({</w:t>
        <w:br/>
        <w:t xml:space="preserve">      message: 'User registered successfully',</w:t>
        <w:br/>
        <w:t xml:space="preserve">      token,</w:t>
        <w:br/>
        <w:t xml:space="preserve">      user: { id: user._id, name: user.name, role: user.role }</w:t>
        <w:br/>
        <w:t xml:space="preserve">    });</w:t>
        <w:br/>
        <w:t xml:space="preserve">  } catch (error) {</w:t>
        <w:br/>
        <w:t xml:space="preserve">    res.status(500).json({ message: 'Server error', error: error.message });</w:t>
        <w:br/>
        <w:t xml:space="preserve">  }</w:t>
        <w:br/>
        <w:t>});</w:t>
      </w:r>
    </w:p>
    <w:p>
      <w:pPr>
        <w:spacing w:before="120" w:after="40" w:line="276" w:lineRule="auto"/>
        <w:ind w:firstLine="0"/>
        <w:jc w:val="left"/>
      </w:pPr>
      <w:r>
        <w:rPr>
          <w:rFonts w:ascii="Times New Roman" w:hAnsi="Times New Roman"/>
          <w:b/>
          <w:sz w:val="28"/>
        </w:rPr>
        <w:t>7. Login and JWT Generation</w:t>
      </w:r>
    </w:p>
    <w:p>
      <w:pPr>
        <w:spacing w:before="20" w:after="20" w:line="230" w:lineRule="exact"/>
        <w:ind w:firstLine="0"/>
        <w:jc w:val="left"/>
      </w:pPr>
      <w:r>
        <w:rPr>
          <w:rFonts w:ascii="Consolas" w:hAnsi="Consolas"/>
          <w:sz w:val="19"/>
        </w:rPr>
        <w:t>// routes/auth.js - Login &amp; JWT</w:t>
        <w:br/>
        <w:t>// @route POST /api/auth/login</w:t>
        <w:br/>
        <w:t>// @desc Authenticate user and return JWT token</w:t>
        <w:br/>
        <w:t>router.post('/login', async (req, res) =&gt; {</w:t>
        <w:br/>
        <w:t xml:space="preserve">  try {</w:t>
        <w:br/>
        <w:t xml:space="preserve">    const { email, password } = req.body;</w:t>
        <w:br/>
        <w:t xml:space="preserve">    const user = await User.findOne({ email }).select('+password');</w:t>
        <w:br/>
        <w:t xml:space="preserve">    if (!user) {</w:t>
        <w:br/>
        <w:t xml:space="preserve">      return res.status(401).json({ message: 'Invalid email or password' });</w:t>
      </w:r>
    </w:p>
    <w:p>
      <w:r>
        <w:br w:type="page"/>
      </w:r>
    </w:p>
    <w:p>
      <w:pPr>
        <w:spacing w:before="20" w:after="20" w:line="230" w:lineRule="exact"/>
        <w:ind w:firstLine="0"/>
        <w:jc w:val="left"/>
      </w:pPr>
      <w:r>
        <w:rPr>
          <w:rFonts w:ascii="Consolas" w:hAnsi="Consolas"/>
          <w:sz w:val="19"/>
        </w:rPr>
        <w:t xml:space="preserve">    }</w:t>
        <w:br/>
        <w:t xml:space="preserve">    const isMatch = await user.matchPassword(password);</w:t>
        <w:br/>
        <w:t xml:space="preserve">    if (!isMatch) {</w:t>
        <w:br/>
        <w:t xml:space="preserve">      return res.status(401).json({ message: 'Invalid email or password' });</w:t>
        <w:br/>
        <w:t xml:space="preserve">    }</w:t>
        <w:br/>
        <w:t xml:space="preserve">    const token = jwt.sign(</w:t>
        <w:br/>
        <w:t xml:space="preserve">      { id: user._id, role: user.role },</w:t>
        <w:br/>
        <w:t xml:space="preserve">      process.env.JWT_SECRET,</w:t>
        <w:br/>
        <w:t xml:space="preserve">      { expiresIn: process.env.JWT_EXPIRE }</w:t>
        <w:br/>
        <w:t xml:space="preserve">    );</w:t>
        <w:br/>
        <w:t xml:space="preserve">    res.json({</w:t>
        <w:br/>
        <w:t xml:space="preserve">      token,</w:t>
        <w:br/>
        <w:t xml:space="preserve">      user: { id: user._id, name: user.name, email: user.email, role: user.role }</w:t>
        <w:br/>
        <w:t xml:space="preserve">    });</w:t>
        <w:br/>
        <w:t xml:space="preserve">  } catch (error) {</w:t>
        <w:br/>
        <w:t xml:space="preserve">    res.status(500).json({ message: 'Server error', error: error.message });</w:t>
        <w:br/>
        <w:t xml:space="preserve">  }</w:t>
        <w:br/>
        <w:t>});</w:t>
        <w:br/>
        <w:t>module.exports = router;</w:t>
      </w:r>
    </w:p>
    <w:p>
      <w:pPr>
        <w:spacing w:before="120" w:after="40" w:line="276" w:lineRule="auto"/>
        <w:ind w:firstLine="0"/>
        <w:jc w:val="left"/>
      </w:pPr>
      <w:r>
        <w:rPr>
          <w:rFonts w:ascii="Times New Roman" w:hAnsi="Times New Roman"/>
          <w:b/>
          <w:sz w:val="28"/>
        </w:rPr>
        <w:t>8. Authentication Middleware</w:t>
      </w:r>
    </w:p>
    <w:p>
      <w:pPr>
        <w:spacing w:before="20" w:after="20" w:line="230" w:lineRule="exact"/>
        <w:ind w:firstLine="0"/>
        <w:jc w:val="left"/>
      </w:pPr>
      <w:r>
        <w:rPr>
          <w:rFonts w:ascii="Consolas" w:hAnsi="Consolas"/>
          <w:sz w:val="19"/>
        </w:rPr>
        <w:t>// middleware/auth.js - JWT Authentication Middleware</w:t>
        <w:br/>
        <w:t>const jwt = require('jsonwebtoken');</w:t>
        <w:br/>
        <w:t>const User = require('../models/User');</w:t>
        <w:br/>
        <w:br/>
        <w:t>const protect = async (req, res, next) =&gt; {</w:t>
        <w:br/>
        <w:t xml:space="preserve">  let token;</w:t>
        <w:br/>
        <w:t xml:space="preserve">  if (req.headers.authorization &amp;&amp; req.headers.authorization.startsWith('Bearer')) {</w:t>
        <w:br/>
        <w:t xml:space="preserve">    token = req.headers.authorization.split(' ')[1];</w:t>
        <w:br/>
        <w:t xml:space="preserve">  }</w:t>
        <w:br/>
        <w:t xml:space="preserve">  if (!token) {</w:t>
        <w:br/>
        <w:t xml:space="preserve">    return res.status(401).json({ message: 'Not authorized, no token' });</w:t>
        <w:br/>
        <w:t xml:space="preserve">  }</w:t>
        <w:br/>
        <w:t xml:space="preserve">  try {</w:t>
        <w:br/>
        <w:t xml:space="preserve">    const decoded = jwt.verify(token, process.env.JWT_SECRET);</w:t>
        <w:br/>
        <w:t xml:space="preserve">    req.user = await User.findById(decoded.id).select('-password');</w:t>
      </w:r>
    </w:p>
    <w:p>
      <w:r>
        <w:br w:type="page"/>
      </w:r>
    </w:p>
    <w:p>
      <w:pPr>
        <w:spacing w:before="20" w:after="20" w:line="230" w:lineRule="exact"/>
        <w:ind w:firstLine="0"/>
        <w:jc w:val="left"/>
      </w:pPr>
      <w:r>
        <w:rPr>
          <w:rFonts w:ascii="Consolas" w:hAnsi="Consolas"/>
          <w:sz w:val="19"/>
        </w:rPr>
        <w:t xml:space="preserve">    if (!req.user) {</w:t>
        <w:br/>
        <w:t xml:space="preserve">      return res.status(401).json({ message: 'User not found' });</w:t>
        <w:br/>
        <w:t xml:space="preserve">    }</w:t>
        <w:br/>
        <w:t xml:space="preserve">    next();</w:t>
        <w:br/>
        <w:t xml:space="preserve">  } catch (error) {</w:t>
        <w:br/>
        <w:t xml:space="preserve">    return res.status(401).json({ message: 'Not authorized, token failed' });</w:t>
        <w:br/>
        <w:t xml:space="preserve">  }</w:t>
        <w:br/>
        <w:t>};</w:t>
        <w:br/>
        <w:br/>
        <w:t>const authorize = (...roles) =&gt; {</w:t>
        <w:br/>
        <w:t xml:space="preserve">  return (req, res, next) =&gt; {</w:t>
        <w:br/>
        <w:t xml:space="preserve">    if (!roles.includes(req.user.role)) {</w:t>
        <w:br/>
        <w:t xml:space="preserve">      return res.status(403).json({ message: 'Insufficient clinical permissions' });</w:t>
        <w:br/>
        <w:t xml:space="preserve">    }</w:t>
        <w:br/>
        <w:t xml:space="preserve">    next();</w:t>
        <w:br/>
        <w:t xml:space="preserve">  };</w:t>
        <w:br/>
        <w:t>};</w:t>
        <w:br/>
        <w:t>module.exports = { protect, authorize };</w:t>
      </w:r>
    </w:p>
    <w:p>
      <w:pPr>
        <w:spacing w:before="120" w:after="40" w:line="276" w:lineRule="auto"/>
        <w:ind w:firstLine="0"/>
        <w:jc w:val="left"/>
      </w:pPr>
      <w:r>
        <w:rPr>
          <w:rFonts w:ascii="Times New Roman" w:hAnsi="Times New Roman"/>
          <w:b/>
          <w:sz w:val="28"/>
        </w:rPr>
        <w:t>9. Create API</w:t>
      </w:r>
    </w:p>
    <w:p>
      <w:pPr>
        <w:spacing w:before="20" w:after="20" w:line="230" w:lineRule="exact"/>
        <w:ind w:firstLine="0"/>
        <w:jc w:val="left"/>
      </w:pPr>
      <w:r>
        <w:rPr>
          <w:rFonts w:ascii="Consolas" w:hAnsi="Consolas"/>
          <w:sz w:val="19"/>
        </w:rPr>
        <w:t>// routes/specimens.js - Create Specimen Requisition</w:t>
        <w:br/>
        <w:t>const express = require('express');</w:t>
        <w:br/>
        <w:t>const router = express.Router();</w:t>
        <w:br/>
        <w:t>const { protect, authorize } = require('../middleware/auth');</w:t>
        <w:br/>
        <w:t>const Specimen = require('../models/Specimen');</w:t>
        <w:br/>
        <w:br/>
        <w:t>router.post('/', protect, authorize('Accessioner', 'Director'), async (req, res) =&gt; {</w:t>
        <w:br/>
        <w:t xml:space="preserve">  try {</w:t>
        <w:br/>
        <w:t xml:space="preserve">    const { patientMRN, patientName, specimenType, collectionDate, anatomicalSite, tumorPurity } = req.body;</w:t>
        <w:br/>
        <w:t xml:space="preserve">    const count = await Specimen.countDocuments();</w:t>
        <w:br/>
        <w:t xml:space="preserve">    const barcode = `GEN-2026-${String(count + 1).padStart(6, '0')}`;</w:t>
        <w:br/>
        <w:t xml:space="preserve">    const specimen = await Specimen.create({</w:t>
        <w:br/>
        <w:t xml:space="preserve">      specimenBarcode: barcode, patientMRN, patientName, specimenType,</w:t>
        <w:br/>
        <w:t xml:space="preserve">      collectionDate, anatomicalSite, tumorPurity, workflowStage: 'Accessioned'</w:t>
        <w:br/>
        <w:t xml:space="preserve">    });</w:t>
        <w:br/>
        <w:t xml:space="preserve">    if (req.io) {</w:t>
        <w:br/>
        <w:t xml:space="preserve">      req.io.emit('specimen:created', { barcode: specimen.specimenBarcode, stage: specimen.workflowStage });</w:t>
        <w:br/>
        <w:t xml:space="preserve">    }</w:t>
        <w:br/>
        <w:t xml:space="preserve">    res.status(201).json({ message: 'Specimen accessioned successfully', barcode: specimen.specimenBarcode });</w:t>
        <w:br/>
        <w:t xml:space="preserve">  } catch (error) {</w:t>
        <w:br/>
        <w:t xml:space="preserve">    res.status(500).json({ message: 'Server error', error: error.message });</w:t>
        <w:br/>
        <w:t xml:space="preserve">  }</w:t>
        <w:br/>
        <w:t>});</w:t>
      </w:r>
    </w:p>
    <w:p>
      <w:r>
        <w:br w:type="page"/>
      </w:r>
    </w:p>
    <w:p>
      <w:pPr>
        <w:spacing w:before="120" w:after="40" w:line="276" w:lineRule="auto"/>
        <w:ind w:firstLine="0"/>
        <w:jc w:val="left"/>
      </w:pPr>
      <w:r>
        <w:rPr>
          <w:rFonts w:ascii="Times New Roman" w:hAnsi="Times New Roman"/>
          <w:b/>
          <w:sz w:val="28"/>
        </w:rPr>
        <w:t>10. Read API</w:t>
      </w:r>
    </w:p>
    <w:p>
      <w:pPr>
        <w:spacing w:before="20" w:after="20" w:line="230" w:lineRule="exact"/>
        <w:ind w:firstLine="0"/>
        <w:jc w:val="left"/>
      </w:pPr>
      <w:r>
        <w:rPr>
          <w:rFonts w:ascii="Consolas" w:hAnsi="Consolas"/>
          <w:sz w:val="19"/>
        </w:rPr>
        <w:t>// routes/specimens.js - Read / List Specimens</w:t>
        <w:br/>
        <w:t>router.get('/', protect, async (req, res) =&gt; {</w:t>
        <w:br/>
        <w:t xml:space="preserve">  try {</w:t>
        <w:br/>
        <w:t xml:space="preserve">    const { stage, specimenType, qcStatus, search, page = 1 } = req.query;</w:t>
        <w:br/>
        <w:t xml:space="preserve">    const perPage = 10;</w:t>
        <w:br/>
        <w:t xml:space="preserve">    let query = {};</w:t>
        <w:br/>
        <w:t xml:space="preserve">    if (stage) query.workflowStage = stage;</w:t>
        <w:br/>
        <w:t xml:space="preserve">    if (specimenType) query.specimenType = specimenType;</w:t>
        <w:br/>
        <w:t xml:space="preserve">    if (qcStatus) query['qualityControl.qcStatus'] = qcStatus;</w:t>
        <w:br/>
        <w:t xml:space="preserve">    if (search) {</w:t>
        <w:br/>
        <w:t xml:space="preserve">      query.$or = [</w:t>
        <w:br/>
        <w:t xml:space="preserve">        { specimenBarcode: { $regex: search, $options: 'i' } },</w:t>
        <w:br/>
        <w:t xml:space="preserve">        { patientMRN: { $regex: search, $options: 'i' } }</w:t>
        <w:br/>
        <w:t xml:space="preserve">      ];</w:t>
        <w:br/>
        <w:t xml:space="preserve">    }</w:t>
        <w:br/>
        <w:t xml:space="preserve">    const total = await Specimen.countDocuments(query);</w:t>
        <w:br/>
        <w:t xml:space="preserve">    const specimens = await Specimen.find(query)</w:t>
        <w:br/>
        <w:t xml:space="preserve">      .sort({ createdAt: -1 })</w:t>
        <w:br/>
        <w:t xml:space="preserve">      .skip((page - 1) * perPage)</w:t>
        <w:br/>
        <w:t xml:space="preserve">      .limit(perPage);</w:t>
        <w:br/>
        <w:t xml:space="preserve">    res.json({ total, page: Number(page), per_page: perPage, specimens });</w:t>
        <w:br/>
        <w:t xml:space="preserve">  } catch (error) {</w:t>
        <w:br/>
        <w:t xml:space="preserve">    res.status(500).json({ message: 'Server error', error: error.message });</w:t>
        <w:br/>
        <w:t xml:space="preserve">  }</w:t>
        <w:br/>
        <w:t>});</w:t>
        <w:br/>
        <w:br/>
        <w:t>router.get('/:id', protect, async (req, res) =&gt; {</w:t>
        <w:br/>
        <w:t xml:space="preserve">  try {</w:t>
        <w:br/>
        <w:t xml:space="preserve">    const specimen = await Specimen.findById(req.params.id);</w:t>
        <w:br/>
        <w:t xml:space="preserve">    if (!specimen) {</w:t>
        <w:br/>
        <w:t xml:space="preserve">      return res.status(404).json({ message: 'Specimen not found' });</w:t>
        <w:br/>
        <w:t xml:space="preserve">    }</w:t>
        <w:br/>
        <w:t xml:space="preserve">    res.json(specimen);</w:t>
        <w:br/>
        <w:t xml:space="preserve">  } catch (error) {</w:t>
        <w:br/>
        <w:t xml:space="preserve">    res.status(500).json({ message: 'Server error', error: error.message });</w:t>
        <w:br/>
        <w:t xml:space="preserve">  }</w:t>
        <w:br/>
        <w:t>});</w:t>
      </w:r>
    </w:p>
    <w:p>
      <w:r>
        <w:br w:type="page"/>
      </w:r>
    </w:p>
    <w:p>
      <w:pPr>
        <w:spacing w:before="120" w:after="40" w:line="276" w:lineRule="auto"/>
        <w:ind w:firstLine="0"/>
        <w:jc w:val="left"/>
      </w:pPr>
      <w:r>
        <w:rPr>
          <w:rFonts w:ascii="Times New Roman" w:hAnsi="Times New Roman"/>
          <w:b/>
          <w:sz w:val="28"/>
        </w:rPr>
        <w:t>11. Update</w:t>
      </w:r>
    </w:p>
    <w:p>
      <w:pPr>
        <w:spacing w:before="20" w:after="20" w:line="230" w:lineRule="exact"/>
        <w:ind w:firstLine="0"/>
        <w:jc w:val="left"/>
      </w:pPr>
      <w:r>
        <w:rPr>
          <w:rFonts w:ascii="Consolas" w:hAnsi="Consolas"/>
          <w:sz w:val="19"/>
        </w:rPr>
        <w:t>// routes/specimens.js - Update Specimen Stage</w:t>
        <w:br/>
        <w:t>router.put('/:id', protect, authorize('Biologist', 'Pathologist', 'Director'), async (req, res) =&gt; {</w:t>
        <w:br/>
        <w:t xml:space="preserve">  try {</w:t>
        <w:br/>
        <w:t xml:space="preserve">    const { workflowStage, validationNotes } = req.body;</w:t>
        <w:br/>
        <w:t xml:space="preserve">    let specimen = await Specimen.findById(req.params.id);</w:t>
        <w:br/>
        <w:t xml:space="preserve">    if (!specimen) {</w:t>
        <w:br/>
        <w:t xml:space="preserve">      return res.status(404).json({ message: 'Specimen not found' });</w:t>
        <w:br/>
        <w:t xml:space="preserve">    }</w:t>
        <w:br/>
        <w:t xml:space="preserve">    specimen.workflowStage = workflowStage;</w:t>
        <w:br/>
        <w:t xml:space="preserve">    await specimen.save();</w:t>
        <w:br/>
        <w:t xml:space="preserve">    if (req.io) {</w:t>
        <w:br/>
        <w:t xml:space="preserve">      req.io.emit('specimen:updated', { barcode: specimen.specimenBarcode, stage: workflowStage });</w:t>
        <w:br/>
        <w:t xml:space="preserve">    }</w:t>
        <w:br/>
        <w:t xml:space="preserve">    res.json({ message: 'Specimen updated', barcode: specimen.specimenBarcode });</w:t>
        <w:br/>
        <w:t xml:space="preserve">  } catch (error) {</w:t>
        <w:br/>
        <w:t xml:space="preserve">    res.status(500).json({ message: 'Server error', error: error.message });</w:t>
        <w:br/>
        <w:t xml:space="preserve">  }</w:t>
        <w:br/>
        <w:t>});</w:t>
      </w:r>
    </w:p>
    <w:p>
      <w:pPr>
        <w:spacing w:before="120" w:after="40" w:line="276" w:lineRule="auto"/>
        <w:ind w:firstLine="0"/>
        <w:jc w:val="left"/>
      </w:pPr>
      <w:r>
        <w:rPr>
          <w:rFonts w:ascii="Times New Roman" w:hAnsi="Times New Roman"/>
          <w:b/>
          <w:sz w:val="28"/>
        </w:rPr>
        <w:t>12. Delete</w:t>
      </w:r>
    </w:p>
    <w:p>
      <w:pPr>
        <w:spacing w:before="20" w:after="20" w:line="230" w:lineRule="exact"/>
        <w:ind w:firstLine="0"/>
        <w:jc w:val="left"/>
      </w:pPr>
      <w:r>
        <w:rPr>
          <w:rFonts w:ascii="Consolas" w:hAnsi="Consolas"/>
          <w:sz w:val="19"/>
        </w:rPr>
        <w:t>// routes/specimens.js - Delete / Archive Specimen</w:t>
        <w:br/>
        <w:t>router.delete('/:id', protect, authorize('Director'), async (req, res) =&gt; {</w:t>
        <w:br/>
        <w:t xml:space="preserve">  try {</w:t>
        <w:br/>
        <w:t xml:space="preserve">    const specimen = await Specimen.findById(req.params.id);</w:t>
        <w:br/>
        <w:t xml:space="preserve">    if (!specimen) {</w:t>
        <w:br/>
        <w:t xml:space="preserve">      return res.status(404).json({ message: 'Specimen not found' });</w:t>
        <w:br/>
        <w:t xml:space="preserve">    }</w:t>
        <w:br/>
        <w:t xml:space="preserve">    await Specimen.findByIdAndDelete(req.params.id);</w:t>
        <w:br/>
        <w:t xml:space="preserve">    if (req.io) {</w:t>
        <w:br/>
        <w:t xml:space="preserve">      req.io.emit('specimen:deleted', { id: req.params.id });</w:t>
        <w:br/>
        <w:t xml:space="preserve">    }</w:t>
        <w:br/>
        <w:t xml:space="preserve">    res.status(204).send();</w:t>
        <w:br/>
        <w:t xml:space="preserve">  } catch (error) {</w:t>
        <w:br/>
        <w:t xml:space="preserve">    res.status(500).json({ message: 'Server error', error: error.message });</w:t>
        <w:br/>
        <w:t xml:space="preserve">  }</w:t>
        <w:br/>
        <w:t>});</w:t>
      </w:r>
    </w:p>
    <w:p>
      <w:r>
        <w:br w:type="page"/>
      </w:r>
    </w:p>
    <w:p>
      <w:pPr>
        <w:spacing w:before="120" w:after="40" w:line="276" w:lineRule="auto"/>
        <w:ind w:firstLine="0"/>
        <w:jc w:val="left"/>
      </w:pPr>
      <w:r>
        <w:rPr>
          <w:rFonts w:ascii="Times New Roman" w:hAnsi="Times New Roman"/>
          <w:b/>
          <w:sz w:val="28"/>
        </w:rPr>
        <w:t>13. Express Route Registration</w:t>
      </w:r>
    </w:p>
    <w:p>
      <w:pPr>
        <w:spacing w:before="20" w:after="20" w:line="230" w:lineRule="exact"/>
        <w:ind w:firstLine="0"/>
        <w:jc w:val="left"/>
      </w:pPr>
      <w:r>
        <w:rPr>
          <w:rFonts w:ascii="Consolas" w:hAnsi="Consolas"/>
          <w:sz w:val="19"/>
        </w:rPr>
        <w:t>// server.js - Express Route Registration</w:t>
        <w:br/>
        <w:t>const express = require('express');</w:t>
        <w:br/>
        <w:t>const app = express();</w:t>
        <w:br/>
        <w:br/>
        <w:t>// Mount Clinical Routes</w:t>
        <w:br/>
        <w:t>app.use('/api/auth', require('./routes/auth'));</w:t>
        <w:br/>
        <w:t>app.use('/api/users', require('./routes/users'));</w:t>
        <w:br/>
        <w:t>app.use('/api/specimens', require('./routes/specimens'));</w:t>
        <w:br/>
        <w:t>app.use('/api/runs', require('./routes/runs'));</w:t>
        <w:br/>
        <w:t>app.use('/api/telemetry', require('./routes/telemetry'));</w:t>
        <w:br/>
        <w:t>app.use('/api/reports', require('./routes/reports'));</w:t>
        <w:br/>
        <w:t>app.use('/api/fhir', require('./routes/fhir'));</w:t>
        <w:br/>
        <w:br/>
        <w:t>// Health check endpoint</w:t>
        <w:br/>
        <w:t>app.get('/api/health', (req, res) =&gt; {</w:t>
        <w:br/>
        <w:t xml:space="preserve">  res.json({ status: 'healthy', service: 'genomics-lims-api', version: '1.0.0' });</w:t>
        <w:br/>
        <w:t>});</w:t>
      </w:r>
    </w:p>
    <w:p>
      <w:pPr>
        <w:spacing w:before="120" w:after="40" w:line="276" w:lineRule="auto"/>
        <w:ind w:firstLine="0"/>
        <w:jc w:val="left"/>
      </w:pPr>
      <w:r>
        <w:rPr>
          <w:rFonts w:ascii="Times New Roman" w:hAnsi="Times New Roman"/>
          <w:b/>
          <w:sz w:val="28"/>
        </w:rPr>
        <w:t>14. Main Server File (server.js)</w:t>
      </w:r>
    </w:p>
    <w:p>
      <w:pPr>
        <w:spacing w:before="20" w:after="20" w:line="230" w:lineRule="exact"/>
        <w:ind w:firstLine="0"/>
        <w:jc w:val="left"/>
      </w:pPr>
      <w:r>
        <w:rPr>
          <w:rFonts w:ascii="Consolas" w:hAnsi="Consolas"/>
          <w:sz w:val="19"/>
        </w:rPr>
        <w:t>// server.js - Express Application Entry Point</w:t>
        <w:br/>
        <w:t>require('dotenv').config();</w:t>
        <w:br/>
        <w:t>const express = require('express');</w:t>
        <w:br/>
        <w:t>const cors = require('cors');</w:t>
      </w:r>
    </w:p>
    <w:p>
      <w:r>
        <w:br w:type="page"/>
      </w:r>
    </w:p>
    <w:p>
      <w:pPr>
        <w:spacing w:before="20" w:after="20" w:line="230" w:lineRule="exact"/>
        <w:ind w:firstLine="0"/>
        <w:jc w:val="left"/>
      </w:pPr>
      <w:r>
        <w:rPr>
          <w:rFonts w:ascii="Consolas" w:hAnsi="Consolas"/>
          <w:sz w:val="19"/>
        </w:rPr>
        <w:t>const http = require('http');</w:t>
        <w:br/>
        <w:t>const { Server } = require('socket.io');</w:t>
        <w:br/>
        <w:t>const connectDB = require('./config/db');</w:t>
        <w:br/>
        <w:br/>
        <w:t>connectDB();</w:t>
        <w:br/>
        <w:t>const app = express();</w:t>
        <w:br/>
        <w:t>const server = http.createServer(app);</w:t>
        <w:br/>
        <w:br/>
        <w:t>const io = new Server(server, {</w:t>
        <w:br/>
        <w:t xml:space="preserve">  cors: { origin: process.env.CLIENT_URL || 'http://localhost:5173', methods: ['GET', 'POST'] }</w:t>
        <w:br/>
        <w:t>});</w:t>
        <w:br/>
        <w:br/>
        <w:t>app.use((req, res, next) =&gt; { req.io = io; next(); });</w:t>
        <w:br/>
        <w:t>app.use(express.json());</w:t>
        <w:br/>
        <w:t>app.use(cors({ origin: process.env.CLIENT_URL || 'http://localhost:5173' }));</w:t>
        <w:br/>
        <w:br/>
        <w:t>// Socket.IO telemetry connection handler</w:t>
        <w:br/>
        <w:t>io.on('connection', (socket) =&gt; {</w:t>
        <w:br/>
        <w:t xml:space="preserve">  console.log('Laboratory workstation connected:', socket.id);</w:t>
        <w:br/>
        <w:t xml:space="preserve">  socket.on('disconnect', () =&gt; console.log('Workstation disconnected:', socket.id));</w:t>
        <w:br/>
        <w:t>});</w:t>
        <w:br/>
        <w:br/>
        <w:t>const PORT = process.env.PORT || 5000;</w:t>
        <w:br/>
        <w:t>server.listen(PORT, () =&gt; console.log(`Genomics LIMS server active on port ${PORT}`));</w:t>
      </w:r>
    </w:p>
    <w:p>
      <w:pPr>
        <w:spacing w:before="120" w:after="40" w:line="276" w:lineRule="auto"/>
        <w:ind w:firstLine="0"/>
        <w:jc w:val="left"/>
      </w:pPr>
      <w:r>
        <w:rPr>
          <w:rFonts w:ascii="Times New Roman" w:hAnsi="Times New Roman"/>
          <w:b/>
          <w:sz w:val="28"/>
        </w:rPr>
        <w:t>15. React Login Component</w:t>
      </w:r>
    </w:p>
    <w:p>
      <w:r>
        <w:br w:type="page"/>
      </w:r>
    </w:p>
    <w:p>
      <w:pPr>
        <w:spacing w:before="20" w:after="20" w:line="230" w:lineRule="exact"/>
        <w:ind w:firstLine="0"/>
        <w:jc w:val="left"/>
      </w:pPr>
      <w:r>
        <w:rPr>
          <w:rFonts w:ascii="Consolas" w:hAnsi="Consolas"/>
          <w:sz w:val="19"/>
        </w:rPr>
        <w:t>// src/pages/LoginPage.jsx</w:t>
        <w:br/>
        <w:t>import React, { useState } from "react";</w:t>
        <w:br/>
        <w:t>import { useNavigate } from "react-router-dom";</w:t>
        <w:br/>
        <w:t>import { useAuth } from "../context/AuthContext";</w:t>
        <w:br/>
        <w:t>import api from "../services/api";</w:t>
        <w:br/>
        <w:br/>
        <w:t>const LoginPage = () =&gt; {</w:t>
        <w:br/>
        <w:t xml:space="preserve">  const navigate = useNavigate();</w:t>
        <w:br/>
        <w:t xml:space="preserve">  const { login } = useAuth();</w:t>
        <w:br/>
        <w:t xml:space="preserve">  const [form, setForm] = useState({ email: "", password: "" });</w:t>
        <w:br/>
        <w:t xml:space="preserve">  const [error, setError] = useState("");</w:t>
        <w:br/>
        <w:t xml:space="preserve">  const [loading, setLoading] = useState(false);</w:t>
        <w:br/>
        <w:br/>
        <w:t xml:space="preserve">  const handleSubmit = async (e) =&gt; {</w:t>
        <w:br/>
        <w:t xml:space="preserve">    e.preventDefault();</w:t>
        <w:br/>
        <w:t xml:space="preserve">    setLoading(true);</w:t>
        <w:br/>
        <w:t xml:space="preserve">    setError("");</w:t>
        <w:br/>
        <w:t xml:space="preserve">    try {</w:t>
        <w:br/>
        <w:t xml:space="preserve">      const { data } = await api.post("/api/auth/login", form);</w:t>
        <w:br/>
        <w:t xml:space="preserve">      login(data.token, data.user);</w:t>
        <w:br/>
        <w:t xml:space="preserve">      navigate("/dashboard");</w:t>
        <w:br/>
        <w:t xml:space="preserve">    } catch (err) {</w:t>
        <w:br/>
        <w:t xml:space="preserve">      setError(err.response?.data?.message || "Login failed");</w:t>
        <w:br/>
        <w:t xml:space="preserve">    } finally {</w:t>
        <w:br/>
        <w:t xml:space="preserve">      setLoading(false);</w:t>
        <w:br/>
        <w:t xml:space="preserve">    }</w:t>
        <w:br/>
        <w:t xml:space="preserve">  };</w:t>
        <w:br/>
        <w:br/>
        <w:t xml:space="preserve">  return (</w:t>
        <w:br/>
        <w:t xml:space="preserve">    &lt;div className="min-h-screen bg-slate-900 flex items-center justify-center"&gt;</w:t>
        <w:br/>
        <w:t xml:space="preserve">      &lt;div className="bg-white rounded-xl shadow-2xl p-8 w-full max-w-md"&gt;</w:t>
        <w:br/>
        <w:t xml:space="preserve">        &lt;h1 className="text-2xl font-bold text-emerald-600 text-center mb-2"&gt;Genomics LIMS&lt;/h1&gt;</w:t>
        <w:br/>
        <w:t xml:space="preserve">        &lt;p className="text-gray-500 text-center mb-6"&gt;Sign in to your clinical account&lt;/p&gt;</w:t>
        <w:br/>
        <w:t xml:space="preserve">        {error &amp;&amp; &lt;div className="bg-red-50 text-red-600 p-3 rounded mb-4"&gt;{error}&lt;/div&gt;}</w:t>
        <w:br/>
        <w:t xml:space="preserve">        &lt;form onSubmit={handleSubmit}&gt;</w:t>
        <w:br/>
        <w:t xml:space="preserve">          &lt;div className="mb-4"&gt;</w:t>
        <w:br/>
        <w:t xml:space="preserve">            &lt;label className="block text-sm font-medium text-gray-700 mb-1"&gt;Email Address&lt;/label&gt;</w:t>
        <w:br/>
        <w:t xml:space="preserve">            &lt;input type="email" value={form.email}</w:t>
        <w:br/>
        <w:t xml:space="preserve">              onChange={(e) =&gt; setForm({ ...form, email: e.target.value })}</w:t>
        <w:br/>
        <w:t xml:space="preserve">              className="w-full px-4 py-2 border rounded-lg focus:ring-2 focus:ring-emerald-500" required /&gt;</w:t>
        <w:br/>
        <w:t xml:space="preserve">          &lt;/div&gt;</w:t>
        <w:br/>
        <w:t xml:space="preserve">          &lt;div className="mb-6"&gt;</w:t>
        <w:br/>
        <w:t xml:space="preserve">            &lt;label className="block text-sm font-medium text-gray-700 mb-1"&gt;Password&lt;/label&gt;</w:t>
      </w:r>
    </w:p>
    <w:p>
      <w:r>
        <w:br w:type="page"/>
      </w:r>
    </w:p>
    <w:p>
      <w:pPr>
        <w:spacing w:before="20" w:after="20" w:line="230" w:lineRule="exact"/>
        <w:ind w:firstLine="0"/>
        <w:jc w:val="left"/>
      </w:pPr>
      <w:r>
        <w:rPr>
          <w:rFonts w:ascii="Consolas" w:hAnsi="Consolas"/>
          <w:sz w:val="19"/>
        </w:rPr>
        <w:t xml:space="preserve">            &lt;input type="password" value={form.password}</w:t>
        <w:br/>
        <w:t xml:space="preserve">              onChange={(e) =&gt; setForm({ ...form, password: e.target.value })}</w:t>
        <w:br/>
        <w:t xml:space="preserve">              className="w-full px-4 py-2 border rounded-lg focus:ring-2 focus:ring-emerald-500" required /&gt;</w:t>
        <w:br/>
        <w:t xml:space="preserve">          &lt;/div&gt;</w:t>
        <w:br/>
        <w:t xml:space="preserve">          &lt;button type="submit" disabled={loading}</w:t>
        <w:br/>
        <w:t xml:space="preserve">            className="w-full bg-emerald-600 text-white py-3 rounded-lg font-semibold hover:bg-emerald-700 transition"&gt;</w:t>
        <w:br/>
        <w:t xml:space="preserve">            {loading ? "Signing in..." : "Sign In"}</w:t>
        <w:br/>
        <w:t xml:space="preserve">          &lt;/button&gt;</w:t>
        <w:br/>
        <w:t xml:space="preserve">        &lt;/form&gt;</w:t>
        <w:br/>
        <w:t xml:space="preserve">      &lt;/div&gt;</w:t>
        <w:br/>
        <w:t xml:space="preserve">    &lt;/div&gt;</w:t>
        <w:br/>
        <w:t xml:space="preserve">  );</w:t>
        <w:br/>
        <w:t>};</w:t>
        <w:br/>
        <w:t>export default LoginPage;</w:t>
      </w:r>
    </w:p>
    <w:p>
      <w:pPr>
        <w:spacing w:before="120" w:after="40" w:line="276" w:lineRule="auto"/>
        <w:ind w:firstLine="0"/>
        <w:jc w:val="left"/>
      </w:pPr>
      <w:r>
        <w:rPr>
          <w:rFonts w:ascii="Times New Roman" w:hAnsi="Times New Roman"/>
          <w:b/>
          <w:sz w:val="28"/>
        </w:rPr>
        <w:t>16. Admin Dashboard Logic</w:t>
      </w:r>
    </w:p>
    <w:p>
      <w:pPr>
        <w:spacing w:before="20" w:after="20" w:line="230" w:lineRule="exact"/>
        <w:ind w:firstLine="0"/>
        <w:jc w:val="left"/>
      </w:pPr>
      <w:r>
        <w:rPr>
          <w:rFonts w:ascii="Consolas" w:hAnsi="Consolas"/>
          <w:sz w:val="19"/>
        </w:rPr>
        <w:t>// src/pages/DashboardPage.jsx</w:t>
        <w:br/>
        <w:t>import React, { useEffect, useState } from "react";</w:t>
        <w:br/>
        <w:t>import api from "../services/api";</w:t>
        <w:br/>
        <w:t>import { useAuth } from "../context/AuthContext";</w:t>
        <w:br/>
        <w:br/>
        <w:t>const DashboardPage = () =&gt; {</w:t>
        <w:br/>
        <w:t xml:space="preserve">  const { user } = useAuth();</w:t>
        <w:br/>
        <w:t xml:space="preserve">  const [stats, setStats] = useState(null);</w:t>
        <w:br/>
        <w:t xml:space="preserve">  const [specimens, setSpecimens] = useState([]);</w:t>
        <w:br/>
        <w:br/>
        <w:t xml:space="preserve">  useEffect(() =&gt; {</w:t>
        <w:br/>
        <w:t xml:space="preserve">    const fetchDashboard = async () =&gt; {</w:t>
        <w:br/>
        <w:t xml:space="preserve">      try {</w:t>
        <w:br/>
        <w:t xml:space="preserve">        const [statsRes, specimensRes] = await Promise.all([</w:t>
        <w:br/>
        <w:t xml:space="preserve">          api.get("/api/specimens/stats"),</w:t>
        <w:br/>
        <w:t xml:space="preserve">          api.get("/api/specimens?page=1"),</w:t>
        <w:br/>
        <w:t xml:space="preserve">        ]);</w:t>
        <w:br/>
        <w:t xml:space="preserve">        setStats(statsRes.data);</w:t>
        <w:br/>
        <w:t xml:space="preserve">        setSpecimens(specimensRes.data.specimens || []);</w:t>
        <w:br/>
        <w:t xml:space="preserve">      } catch (error) {</w:t>
        <w:br/>
        <w:t xml:space="preserve">        console.error("Failed to fetch dashboard data:", error);</w:t>
        <w:br/>
        <w:t xml:space="preserve">      }</w:t>
        <w:br/>
        <w:t xml:space="preserve">    };</w:t>
        <w:br/>
        <w:t xml:space="preserve">    fetchDashboard();</w:t>
        <w:br/>
        <w:t xml:space="preserve">  }, []);</w:t>
        <w:br/>
        <w:br/>
        <w:t xml:space="preserve">  return (</w:t>
      </w:r>
    </w:p>
    <w:p>
      <w:r>
        <w:br w:type="page"/>
      </w:r>
    </w:p>
    <w:p>
      <w:pPr>
        <w:spacing w:before="20" w:after="20" w:line="230" w:lineRule="exact"/>
        <w:ind w:firstLine="0"/>
        <w:jc w:val="left"/>
      </w:pPr>
      <w:r>
        <w:rPr>
          <w:rFonts w:ascii="Consolas" w:hAnsi="Consolas"/>
          <w:sz w:val="19"/>
        </w:rPr>
        <w:t xml:space="preserve">    &lt;div className="p-6 bg-gray-50 min-h-screen"&gt;</w:t>
        <w:br/>
        <w:t xml:space="preserve">      &lt;h1 className="text-2xl font-bold text-gray-800 mb-6"&gt;Welcome back, {user?.name}!&lt;/h1&gt;</w:t>
        <w:br/>
        <w:t xml:space="preserve">      {/* Stats Cards */}</w:t>
        <w:br/>
        <w:t xml:space="preserve">      &lt;div className="grid grid-cols-1 md:grid-cols-4 gap-4 mb-8"&gt;</w:t>
        <w:br/>
        <w:t xml:space="preserve">        &lt;StatCard title="Active Specimens" value={stats?.activeCount || 0} color="blue" /&gt;</w:t>
        <w:br/>
        <w:t xml:space="preserve">        &lt;StatCard title="QC Qualified" value={stats?.qcPassCount || 0} color="green" /&gt;</w:t>
        <w:br/>
        <w:t xml:space="preserve">        &lt;StatCard title="Flow Cells Ready" value={stats?.readyRuns || 0} color="yellow" /&gt;</w:t>
        <w:br/>
        <w:t xml:space="preserve">        &lt;StatCard title="Signed Reports" value={stats?.signedReports || 0} color="purple" /&gt;</w:t>
        <w:br/>
        <w:t xml:space="preserve">      &lt;/div&gt;</w:t>
        <w:br/>
        <w:t xml:space="preserve">      {/* Recent Specimens Table */}</w:t>
        <w:br/>
        <w:t xml:space="preserve">      &lt;div className="bg-white rounded-xl shadow p-6 mb-6"&gt;</w:t>
        <w:br/>
        <w:t xml:space="preserve">        &lt;h2 className="text-lg font-semibold mb-4"&gt;Recent Specimen Requisitions&lt;/h2&gt;</w:t>
        <w:br/>
        <w:t xml:space="preserve">        &lt;table className="w-full"&gt;</w:t>
        <w:br/>
        <w:t xml:space="preserve">          &lt;thead className="bg-gray-50"&gt;</w:t>
        <w:br/>
        <w:t xml:space="preserve">            &lt;tr&gt;</w:t>
        <w:br/>
        <w:t xml:space="preserve">              &lt;th className="text-left p-3"&gt;Barcode&lt;/th&gt;</w:t>
        <w:br/>
        <w:t xml:space="preserve">              &lt;th className="text-left p-3"&gt;Patient MRN&lt;/th&gt;</w:t>
        <w:br/>
        <w:t xml:space="preserve">              &lt;th className="text-left p-3"&gt;Stage&lt;/th&gt;</w:t>
        <w:br/>
        <w:t xml:space="preserve">              &lt;th className="text-left p-3"&gt;QC Status&lt;/th&gt;</w:t>
        <w:br/>
        <w:t xml:space="preserve">            &lt;/tr&gt;</w:t>
        <w:br/>
        <w:t xml:space="preserve">          &lt;/thead&gt;</w:t>
        <w:br/>
        <w:t xml:space="preserve">          &lt;tbody&gt;</w:t>
        <w:br/>
        <w:t xml:space="preserve">            {specimens.map((s) =&gt; (</w:t>
        <w:br/>
        <w:t xml:space="preserve">              &lt;tr key={s._id} className="border-t"&gt;</w:t>
        <w:br/>
        <w:t xml:space="preserve">                &lt;td className="p-3 font-bold text-emerald-600"&gt;{s.specimenBarcode}&lt;/td&gt;</w:t>
        <w:br/>
        <w:t xml:space="preserve">                &lt;td className="p-3"&gt;{s.patientMRN}&lt;/td&gt;</w:t>
        <w:br/>
        <w:t xml:space="preserve">                &lt;td className="p-3"&gt;&lt;span className="px-2 py-1 rounded text-xs font-bold bg-blue-100 text-blue-700"&gt;{s.workflowStage}&lt;/span&gt;&lt;/td&gt;</w:t>
        <w:br/>
        <w:t xml:space="preserve">                &lt;td className="p-3"&gt;&lt;span className="px-2 py-1 rounded text-xs font-bold bg-green-100 text-green-700"&gt;{s.qualityControl?.qcStatus || 'Pending'}&lt;/span&gt;&lt;/td&gt;</w:t>
        <w:br/>
        <w:t xml:space="preserve">              &lt;/tr&gt;</w:t>
        <w:br/>
        <w:t xml:space="preserve">            ))}</w:t>
        <w:br/>
        <w:t xml:space="preserve">          &lt;/tbody&gt;</w:t>
        <w:br/>
        <w:t xml:space="preserve">        &lt;/table&gt;</w:t>
        <w:br/>
        <w:t xml:space="preserve">      &lt;/div&gt;</w:t>
        <w:br/>
        <w:t xml:space="preserve">    &lt;/div&gt;</w:t>
        <w:br/>
        <w:t xml:space="preserve">  );</w:t>
        <w:br/>
        <w:t>};</w:t>
        <w:br/>
        <w:t>export default DashboardPage;</w:t>
      </w:r>
    </w:p>
    <w:p>
      <w:r>
        <w:br w:type="page"/>
      </w:r>
    </w:p>
    <w:p>
      <w:pPr>
        <w:spacing w:before="120" w:after="40" w:line="276" w:lineRule="auto"/>
        <w:ind w:firstLine="0"/>
        <w:jc w:val="left"/>
      </w:pPr>
      <w:r>
        <w:rPr>
          <w:rFonts w:ascii="Times New Roman" w:hAnsi="Times New Roman"/>
          <w:b/>
          <w:sz w:val="28"/>
        </w:rPr>
        <w:t>17. REST API Request and Response Examples</w:t>
      </w:r>
    </w:p>
    <w:p>
      <w:pPr>
        <w:spacing w:before="20" w:after="20" w:line="230" w:lineRule="exact"/>
        <w:ind w:firstLine="0"/>
        <w:jc w:val="left"/>
      </w:pPr>
      <w:r>
        <w:rPr>
          <w:rFonts w:ascii="Consolas" w:hAnsi="Consolas"/>
          <w:sz w:val="19"/>
        </w:rPr>
        <w:t>// ===== REQUEST: Create Specimen Requisition =====</w:t>
        <w:br/>
        <w:t>// POST /api/specimens</w:t>
        <w:br/>
        <w:t>// Headers: Authorization: Bearer eyJhbGciOiJIUzI1NiIs...</w:t>
        <w:br/>
        <w:t>{</w:t>
        <w:br/>
        <w:t xml:space="preserve">  "patientMRN": "MRN-ONC-99214",</w:t>
        <w:br/>
        <w:t xml:space="preserve">  "patientName": "Robert Chen",</w:t>
        <w:br/>
        <w:t xml:space="preserve">  "specimenType": "FFPE Tissue",</w:t>
        <w:br/>
        <w:t xml:space="preserve">  "collectionDate": "2026-10-24T08:30:00Z",</w:t>
        <w:br/>
        <w:t xml:space="preserve">  "anatomicalSite": "Right Upper Lobe Lung",</w:t>
        <w:br/>
        <w:t xml:space="preserve">  "tumorPurity": 65</w:t>
        <w:br/>
        <w:t>}</w:t>
        <w:br/>
        <w:br/>
        <w:t>// ===== RESPONSE: 201 Created =====</w:t>
        <w:br/>
        <w:t>{</w:t>
        <w:br/>
        <w:t xml:space="preserve">  "message": "Specimen accessioned successfully",</w:t>
        <w:br/>
        <w:t xml:space="preserve">  "barcode": "GEN-2026-000142"</w:t>
        <w:br/>
        <w:t>}</w:t>
        <w:br/>
        <w:br/>
        <w:t>// ===== REQUEST: Get HL7 FHIR Genomics Bundle =====</w:t>
        <w:br/>
        <w:t>// GET /api/fhir/reports/GEN-2026-000142</w:t>
        <w:br/>
        <w:t>// ===== RESPONSE: 200 OK =====</w:t>
        <w:br/>
        <w:t>{</w:t>
        <w:br/>
        <w:t xml:space="preserve">  "resourceType": "Bundle",</w:t>
        <w:br/>
        <w:t xml:space="preserve">  "type": "document",</w:t>
        <w:br/>
        <w:t xml:space="preserve">  "entry": [</w:t>
        <w:br/>
        <w:t xml:space="preserve">    {</w:t>
        <w:br/>
        <w:t xml:space="preserve">      "resource": {</w:t>
        <w:br/>
        <w:t xml:space="preserve">        "resourceType": "DiagnosticReport",</w:t>
        <w:br/>
        <w:t xml:space="preserve">        "status": "final",</w:t>
        <w:br/>
        <w:t xml:space="preserve">        "code": { "coding": [{ "system": "http://loinc.org", "code": "81247-9", "display": "NGS Panel" }] },</w:t>
        <w:br/>
        <w:t xml:space="preserve">        "subject": { "reference": "Patient/MRN-ONC-99214" },</w:t>
        <w:br/>
        <w:t xml:space="preserve">        "specimen": [{ "reference": "Specimen/GEN-2026-000142" }],</w:t>
        <w:br/>
        <w:t xml:space="preserve">        "conclusion": "Pathogenic somatic mutation in EGFR (Exon 19 del p.Glu746_Ala750del). Tier I."</w:t>
        <w:br/>
        <w:t xml:space="preserve">      }</w:t>
        <w:br/>
        <w:t xml:space="preserve">    },</w:t>
        <w:br/>
        <w:t xml:space="preserve">    {</w:t>
        <w:br/>
        <w:t xml:space="preserve">      "resource": {</w:t>
        <w:br/>
        <w:t xml:space="preserve">        "resourceType": "Observation",</w:t>
        <w:br/>
        <w:t xml:space="preserve">        "id": "OBS-VAR-001",</w:t>
        <w:br/>
        <w:t xml:space="preserve">        "status": "final",</w:t>
        <w:br/>
        <w:t xml:space="preserve">        "code": { "coding": [{ "system": "http://loinc.org", "code": "69548-6", "display": "Variant" }] },</w:t>
        <w:br/>
        <w:t xml:space="preserve">        "valueCodeableConcept": {</w:t>
        <w:br/>
        <w:t xml:space="preserve">          "coding": [{ "system": "http://varnomen.hgvs.org", "code": "NM_005228.5:c.2235_2249del", "display": "EGFR p.E746_A750del" }]</w:t>
        <w:br/>
        <w:t xml:space="preserve">        }</w:t>
        <w:br/>
        <w:t xml:space="preserve">      }</w:t>
        <w:br/>
        <w:t xml:space="preserve">    }</w:t>
        <w:br/>
        <w:t xml:space="preserve">  ],</w:t>
        <w:br/>
        <w:t xml:space="preserve">  "serialization_engine": "hl7_fhir_genomics_stu3_v1"</w:t>
        <w:br/>
        <w:t>}</w:t>
      </w:r>
    </w:p>
    <w:p>
      <w:r>
        <w:br w:type="page"/>
      </w:r>
    </w:p>
    <w:p>
      <w:pPr>
        <w:spacing w:before="280" w:after="160" w:line="276" w:lineRule="auto"/>
        <w:ind w:firstLine="0"/>
        <w:jc w:val="center"/>
      </w:pPr>
      <w:r>
        <w:rPr>
          <w:rFonts w:ascii="Times New Roman" w:hAnsi="Times New Roman"/>
          <w:b/>
          <w:sz w:val="32"/>
        </w:rPr>
        <w:t>SCREENSHOTS OF THE PROJECT</w:t>
      </w:r>
    </w:p>
    <w:p>
      <w:pPr>
        <w:spacing w:before="80" w:after="160" w:line="276" w:lineRule="auto"/>
        <w:ind w:firstLine="0"/>
        <w:jc w:val="both"/>
      </w:pPr>
      <w:r>
        <w:rPr>
          <w:rFonts w:ascii="Times New Roman" w:hAnsi="Times New Roman"/>
          <w:i/>
          <w:sz w:val="24"/>
        </w:rPr>
        <w:t>The following screenshots demonstrate the key features and user interfaces of the Genomics Laboratory Sequencing Workflow Management System:</w:t>
      </w:r>
    </w:p>
    <w:p>
      <w:pPr>
        <w:spacing w:before="80" w:after="40"/>
        <w:ind w:firstLine="0"/>
        <w:jc w:val="center"/>
      </w:pPr>
      <w:r>
        <w:drawing>
          <wp:inline xmlns:a="http://schemas.openxmlformats.org/drawingml/2006/main" xmlns:pic="http://schemas.openxmlformats.org/drawingml/2006/picture">
            <wp:extent cx="4754880" cy="2971800"/>
            <wp:docPr id="7" name="Picture 7"/>
            <wp:cNvGraphicFramePr>
              <a:graphicFrameLocks noChangeAspect="1"/>
            </wp:cNvGraphicFramePr>
            <a:graphic>
              <a:graphicData uri="http://schemas.openxmlformats.org/drawingml/2006/picture">
                <pic:pic>
                  <pic:nvPicPr>
                    <pic:cNvPr id="0" name="Figure_1_User_Login_Page.png"/>
                    <pic:cNvPicPr/>
                  </pic:nvPicPr>
                  <pic:blipFill>
                    <a:blip r:embed="rId17"/>
                    <a:stretch>
                      <a:fillRect/>
                    </a:stretch>
                  </pic:blipFill>
                  <pic:spPr>
                    <a:xfrm>
                      <a:off x="0" y="0"/>
                      <a:ext cx="4754880" cy="2971800"/>
                    </a:xfrm>
                    <a:prstGeom prst="rect"/>
                  </pic:spPr>
                </pic:pic>
              </a:graphicData>
            </a:graphic>
          </wp:inline>
        </w:drawing>
      </w:r>
    </w:p>
    <w:p>
      <w:pPr>
        <w:spacing w:before="80" w:after="160" w:line="276" w:lineRule="auto"/>
        <w:ind w:firstLine="0"/>
        <w:jc w:val="center"/>
      </w:pPr>
      <w:r>
        <w:rPr>
          <w:rFonts w:ascii="Times New Roman" w:hAnsi="Times New Roman"/>
          <w:b/>
          <w:i/>
          <w:sz w:val="24"/>
        </w:rPr>
        <w:t>Figure 1: User Login and Authentication Interface</w:t>
      </w:r>
    </w:p>
    <w:p>
      <w:r>
        <w:br w:type="page"/>
      </w:r>
    </w:p>
    <w:p>
      <w:pPr>
        <w:spacing w:before="40" w:after="40"/>
        <w:ind w:firstLine="0"/>
        <w:jc w:val="center"/>
      </w:pPr>
      <w:r>
        <w:drawing>
          <wp:inline xmlns:a="http://schemas.openxmlformats.org/drawingml/2006/main" xmlns:pic="http://schemas.openxmlformats.org/drawingml/2006/picture">
            <wp:extent cx="4206240" cy="2628900"/>
            <wp:docPr id="8" name="Picture 8"/>
            <wp:cNvGraphicFramePr>
              <a:graphicFrameLocks noChangeAspect="1"/>
            </wp:cNvGraphicFramePr>
            <a:graphic>
              <a:graphicData uri="http://schemas.openxmlformats.org/drawingml/2006/picture">
                <pic:pic>
                  <pic:nvPicPr>
                    <pic:cNvPr id="0" name="Figure_2_Dashboard_with_Throughput_Analytics.png"/>
                    <pic:cNvPicPr/>
                  </pic:nvPicPr>
                  <pic:blipFill>
                    <a:blip r:embed="rId18"/>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2: Laboratory Executive Dashboard with Real-Time Run Analytics</w:t>
      </w:r>
    </w:p>
    <w:p>
      <w:pPr>
        <w:spacing w:before="40" w:after="40"/>
        <w:ind w:firstLine="0"/>
        <w:jc w:val="center"/>
      </w:pPr>
      <w:r>
        <w:drawing>
          <wp:inline xmlns:a="http://schemas.openxmlformats.org/drawingml/2006/main" xmlns:pic="http://schemas.openxmlformats.org/drawingml/2006/picture">
            <wp:extent cx="4206240" cy="2628900"/>
            <wp:docPr id="9" name="Picture 9"/>
            <wp:cNvGraphicFramePr>
              <a:graphicFrameLocks noChangeAspect="1"/>
            </wp:cNvGraphicFramePr>
            <a:graphic>
              <a:graphicData uri="http://schemas.openxmlformats.org/drawingml/2006/picture">
                <pic:pic>
                  <pic:nvPicPr>
                    <pic:cNvPr id="0" name="Figure_3_Clinical_Requisition_Intake_Form.png"/>
                    <pic:cNvPicPr/>
                  </pic:nvPicPr>
                  <pic:blipFill>
                    <a:blip r:embed="rId19"/>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3: Clinical Requisition and Specimen Intake Form</w:t>
      </w:r>
    </w:p>
    <w:p>
      <w:r>
        <w:br w:type="page"/>
      </w:r>
    </w:p>
    <w:p>
      <w:pPr>
        <w:spacing w:before="40" w:after="40"/>
        <w:ind w:firstLine="0"/>
        <w:jc w:val="center"/>
      </w:pPr>
      <w:r>
        <w:drawing>
          <wp:inline xmlns:a="http://schemas.openxmlformats.org/drawingml/2006/main" xmlns:pic="http://schemas.openxmlformats.org/drawingml/2006/picture">
            <wp:extent cx="4206240" cy="2628900"/>
            <wp:docPr id="10" name="Picture 10"/>
            <wp:cNvGraphicFramePr>
              <a:graphicFrameLocks noChangeAspect="1"/>
            </wp:cNvGraphicFramePr>
            <a:graphic>
              <a:graphicData uri="http://schemas.openxmlformats.org/drawingml/2006/picture">
                <pic:pic>
                  <pic:nvPicPr>
                    <pic:cNvPr id="0" name="Figure_4_Specimen_Milestone_Tracking.png"/>
                    <pic:cNvPicPr/>
                  </pic:nvPicPr>
                  <pic:blipFill>
                    <a:blip r:embed="rId20"/>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4: Specimen Milestone Tracking and Flow Cell Batch Management</w:t>
      </w:r>
    </w:p>
    <w:p>
      <w:pPr>
        <w:spacing w:before="40" w:after="40"/>
        <w:ind w:firstLine="0"/>
        <w:jc w:val="center"/>
      </w:pPr>
      <w:r>
        <w:drawing>
          <wp:inline xmlns:a="http://schemas.openxmlformats.org/drawingml/2006/main" xmlns:pic="http://schemas.openxmlformats.org/drawingml/2006/picture">
            <wp:extent cx="4206240" cy="2628900"/>
            <wp:docPr id="11" name="Picture 11"/>
            <wp:cNvGraphicFramePr>
              <a:graphicFrameLocks noChangeAspect="1"/>
            </wp:cNvGraphicFramePr>
            <a:graphic>
              <a:graphicData uri="http://schemas.openxmlformats.org/drawingml/2006/picture">
                <pic:pic>
                  <pic:nvPicPr>
                    <pic:cNvPr id="0" name="Figure_5_Quality_Control_TapeStation_Interface.png"/>
                    <pic:cNvPicPr/>
                  </pic:nvPicPr>
                  <pic:blipFill>
                    <a:blip r:embed="rId21"/>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5: Multi-Channel Quality Control and TapeStation Telemetry Ingestion</w:t>
      </w:r>
    </w:p>
    <w:p>
      <w:r>
        <w:br w:type="page"/>
      </w:r>
    </w:p>
    <w:p>
      <w:pPr>
        <w:spacing w:before="40" w:after="40"/>
        <w:ind w:firstLine="0"/>
        <w:jc w:val="center"/>
      </w:pPr>
      <w:r>
        <w:drawing>
          <wp:inline xmlns:a="http://schemas.openxmlformats.org/drawingml/2006/main" xmlns:pic="http://schemas.openxmlformats.org/drawingml/2006/picture">
            <wp:extent cx="4206240" cy="2628900"/>
            <wp:docPr id="12" name="Picture 12"/>
            <wp:cNvGraphicFramePr>
              <a:graphicFrameLocks noChangeAspect="1"/>
            </wp:cNvGraphicFramePr>
            <a:graphic>
              <a:graphicData uri="http://schemas.openxmlformats.org/drawingml/2006/picture">
                <pic:pic>
                  <pic:nvPicPr>
                    <pic:cNvPr id="0" name="Figure_6_Sequencing_Run_Batching_Interface.png"/>
                    <pic:cNvPicPr/>
                  </pic:nvPicPr>
                  <pic:blipFill>
                    <a:blip r:embed="rId22"/>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6: Sequencing Run Batching and Illumina Flow Cell Allocation</w:t>
      </w:r>
    </w:p>
    <w:p>
      <w:pPr>
        <w:spacing w:before="40" w:after="40"/>
        <w:ind w:firstLine="0"/>
        <w:jc w:val="center"/>
      </w:pPr>
      <w:r>
        <w:drawing>
          <wp:inline xmlns:a="http://schemas.openxmlformats.org/drawingml/2006/main" xmlns:pic="http://schemas.openxmlformats.org/drawingml/2006/picture">
            <wp:extent cx="4206240" cy="2628900"/>
            <wp:docPr id="13" name="Picture 13"/>
            <wp:cNvGraphicFramePr>
              <a:graphicFrameLocks noChangeAspect="1"/>
            </wp:cNvGraphicFramePr>
            <a:graphic>
              <a:graphicData uri="http://schemas.openxmlformats.org/drawingml/2006/picture">
                <pic:pic>
                  <pic:nvPicPr>
                    <pic:cNvPr id="0" name="Figure_7_Diagnostic_Traceability_and_Requisition_Review.png"/>
                    <pic:cNvPicPr/>
                  </pic:nvPicPr>
                  <pic:blipFill>
                    <a:blip r:embed="rId23"/>
                    <a:stretch>
                      <a:fillRect/>
                    </a:stretch>
                  </pic:blipFill>
                  <pic:spPr>
                    <a:xfrm>
                      <a:off x="0" y="0"/>
                      <a:ext cx="4206240" cy="2628900"/>
                    </a:xfrm>
                    <a:prstGeom prst="rect"/>
                  </pic:spPr>
                </pic:pic>
              </a:graphicData>
            </a:graphic>
          </wp:inline>
        </w:drawing>
      </w:r>
    </w:p>
    <w:p>
      <w:pPr>
        <w:spacing w:before="40" w:after="160" w:line="276" w:lineRule="auto"/>
        <w:ind w:firstLine="0"/>
        <w:jc w:val="center"/>
      </w:pPr>
      <w:r>
        <w:rPr>
          <w:rFonts w:ascii="Times New Roman" w:hAnsi="Times New Roman"/>
          <w:b/>
          <w:i/>
          <w:sz w:val="24"/>
        </w:rPr>
        <w:t>Figure 7: Diagnostic Traceability, Variant Review, and Audit Verification</w:t>
      </w:r>
    </w:p>
    <w:p>
      <w:r>
        <w:br w:type="page"/>
      </w:r>
    </w:p>
    <w:p>
      <w:pPr>
        <w:spacing w:before="120" w:after="80"/>
        <w:ind w:firstLine="0"/>
        <w:jc w:val="center"/>
      </w:pPr>
      <w:r>
        <w:drawing>
          <wp:inline xmlns:a="http://schemas.openxmlformats.org/drawingml/2006/main" xmlns:pic="http://schemas.openxmlformats.org/drawingml/2006/picture">
            <wp:extent cx="4754880" cy="2971800"/>
            <wp:docPr id="14" name="Picture 14"/>
            <wp:cNvGraphicFramePr>
              <a:graphicFrameLocks noChangeAspect="1"/>
            </wp:cNvGraphicFramePr>
            <a:graphic>
              <a:graphicData uri="http://schemas.openxmlformats.org/drawingml/2006/picture">
                <pic:pic>
                  <pic:nvPicPr>
                    <pic:cNvPr id="0" name="Figure_8_Clinical_Report_Delivery_and_FHIR_Export.png"/>
                    <pic:cNvPicPr/>
                  </pic:nvPicPr>
                  <pic:blipFill>
                    <a:blip r:embed="rId24"/>
                    <a:stretch>
                      <a:fillRect/>
                    </a:stretch>
                  </pic:blipFill>
                  <pic:spPr>
                    <a:xfrm>
                      <a:off x="0" y="0"/>
                      <a:ext cx="4754880" cy="2971800"/>
                    </a:xfrm>
                    <a:prstGeom prst="rect"/>
                  </pic:spPr>
                </pic:pic>
              </a:graphicData>
            </a:graphic>
          </wp:inline>
        </w:drawing>
      </w:r>
    </w:p>
    <w:p>
      <w:pPr>
        <w:spacing w:before="80" w:after="160" w:line="276" w:lineRule="auto"/>
        <w:ind w:firstLine="0"/>
        <w:jc w:val="center"/>
      </w:pPr>
      <w:r>
        <w:rPr>
          <w:rFonts w:ascii="Times New Roman" w:hAnsi="Times New Roman"/>
          <w:b/>
          <w:i/>
          <w:sz w:val="24"/>
        </w:rPr>
        <w:t>Figure 8: Clinical Report Delivery and HL7 FHIR Interoperability</w:t>
      </w:r>
    </w:p>
    <w:p>
      <w:r>
        <w:br w:type="page"/>
      </w:r>
    </w:p>
    <w:p>
      <w:pPr>
        <w:spacing w:before="280" w:after="240" w:line="276" w:lineRule="auto"/>
        <w:ind w:firstLine="0"/>
        <w:jc w:val="center"/>
      </w:pPr>
      <w:r>
        <w:rPr>
          <w:rFonts w:ascii="Times New Roman" w:hAnsi="Times New Roman"/>
          <w:b/>
          <w:sz w:val="32"/>
        </w:rPr>
        <w:t>REFERENCES</w:t>
      </w:r>
    </w:p>
    <w:p>
      <w:pPr>
        <w:spacing w:before="20" w:after="80" w:line="276" w:lineRule="auto"/>
        <w:ind w:firstLine="0"/>
        <w:jc w:val="both"/>
      </w:pPr>
      <w:r>
        <w:rPr>
          <w:rFonts w:ascii="Times New Roman" w:hAnsi="Times New Roman"/>
          <w:sz w:val="22"/>
        </w:rPr>
        <w:t>[1] International Organization for Standardization (2022). ISO 15189:2022 Medical laboratories — Requirements for quality and competence. Geneva, Switzerland: ISO.</w:t>
      </w:r>
    </w:p>
    <w:p>
      <w:pPr>
        <w:spacing w:before="20" w:after="80" w:line="276" w:lineRule="auto"/>
        <w:ind w:firstLine="0"/>
        <w:jc w:val="both"/>
      </w:pPr>
      <w:r>
        <w:rPr>
          <w:rFonts w:ascii="Times New Roman" w:hAnsi="Times New Roman"/>
          <w:sz w:val="22"/>
        </w:rPr>
        <w:t>[2] United States Food and Drug Administration (2023). Code of Federal Regulations Title 21, Part 11: Electronic Records; Electronic Signatures (21 CFR Part 11). Washington, DC: US Government Publishing Office.</w:t>
      </w:r>
    </w:p>
    <w:p>
      <w:pPr>
        <w:spacing w:before="20" w:after="80" w:line="276" w:lineRule="auto"/>
        <w:ind w:firstLine="0"/>
        <w:jc w:val="both"/>
      </w:pPr>
      <w:r>
        <w:rPr>
          <w:rFonts w:ascii="Times New Roman" w:hAnsi="Times New Roman"/>
          <w:sz w:val="22"/>
        </w:rPr>
        <w:t>[3] Alterovitz, G. et al. (2024) "FHIR Genomics: Enabling Standardized Precision Medicine Data Exchange", Journal of the American Medical Informatics Association (JAMIA), 31(2), pp. 312-324.</w:t>
      </w:r>
    </w:p>
    <w:p>
      <w:pPr>
        <w:spacing w:before="20" w:after="80" w:line="276" w:lineRule="auto"/>
        <w:ind w:firstLine="0"/>
        <w:jc w:val="both"/>
      </w:pPr>
      <w:r>
        <w:rPr>
          <w:rFonts w:ascii="Times New Roman" w:hAnsi="Times New Roman"/>
          <w:sz w:val="22"/>
        </w:rPr>
        <w:t>[4] Park, J. et al. (2023) "Automated Quality Control and Workflow Orchestration in High-Throughput Next-Generation Sequencing Laboratories", Briefings in Bioinformatics, 24(4), bbac512.</w:t>
      </w:r>
    </w:p>
    <w:p>
      <w:pPr>
        <w:spacing w:before="20" w:after="80" w:line="276" w:lineRule="auto"/>
        <w:ind w:firstLine="0"/>
        <w:jc w:val="both"/>
      </w:pPr>
      <w:r>
        <w:rPr>
          <w:rFonts w:ascii="Times New Roman" w:hAnsi="Times New Roman"/>
          <w:sz w:val="22"/>
        </w:rPr>
        <w:t>[5] Li, H. and Durbin, R. (2023) "Fast and Accurate Short Read Alignment with Burrows-Wheeler Transform", Bioinformatics, 39(8), btad452.</w:t>
      </w:r>
    </w:p>
    <w:p>
      <w:pPr>
        <w:spacing w:before="20" w:after="80" w:line="276" w:lineRule="auto"/>
        <w:ind w:firstLine="0"/>
        <w:jc w:val="both"/>
      </w:pPr>
      <w:r>
        <w:rPr>
          <w:rFonts w:ascii="Times New Roman" w:hAnsi="Times New Roman"/>
          <w:sz w:val="22"/>
        </w:rPr>
        <w:t>[6] Van der Auwera, G.A. et al. (2023) "Genomics Analysis in the Cloud: Using Docker, GATK, and WDL in Terra", Nature Methods, 20(6), pp. 811-822.</w:t>
      </w:r>
    </w:p>
    <w:p>
      <w:pPr>
        <w:spacing w:before="20" w:after="80" w:line="276" w:lineRule="auto"/>
        <w:ind w:firstLine="0"/>
        <w:jc w:val="both"/>
      </w:pPr>
      <w:r>
        <w:rPr>
          <w:rFonts w:ascii="Times New Roman" w:hAnsi="Times New Roman"/>
          <w:sz w:val="22"/>
        </w:rPr>
        <w:t>[7] Richards, S. et al. (2023) "Standards and Guidelines for the Interpretation of Sequence Variants: Joint Consensus Recommendation of ACMG and AMP", Genetics in Medicine, 25(3), pp. 581-594.</w:t>
      </w:r>
    </w:p>
    <w:p>
      <w:pPr>
        <w:spacing w:before="20" w:after="80" w:line="276" w:lineRule="auto"/>
        <w:ind w:firstLine="0"/>
        <w:jc w:val="both"/>
      </w:pPr>
      <w:r>
        <w:rPr>
          <w:rFonts w:ascii="Times New Roman" w:hAnsi="Times New Roman"/>
          <w:sz w:val="22"/>
        </w:rPr>
        <w:t>[8] Express.js Documentation (2026). Available at: https://expressjs.com</w:t>
      </w:r>
    </w:p>
    <w:p>
      <w:pPr>
        <w:spacing w:before="20" w:after="80" w:line="276" w:lineRule="auto"/>
        <w:ind w:firstLine="0"/>
        <w:jc w:val="both"/>
      </w:pPr>
      <w:r>
        <w:rPr>
          <w:rFonts w:ascii="Times New Roman" w:hAnsi="Times New Roman"/>
          <w:sz w:val="22"/>
        </w:rPr>
        <w:t>[9] React Documentation (2026). Available at: https://react.dev</w:t>
      </w:r>
    </w:p>
    <w:p>
      <w:pPr>
        <w:spacing w:before="20" w:after="80" w:line="276" w:lineRule="auto"/>
        <w:ind w:firstLine="0"/>
        <w:jc w:val="both"/>
      </w:pPr>
      <w:r>
        <w:rPr>
          <w:rFonts w:ascii="Times New Roman" w:hAnsi="Times New Roman"/>
          <w:sz w:val="22"/>
        </w:rPr>
        <w:t>[10] Socket.IO Documentation (2026). Available at: https://socket.io</w:t>
      </w:r>
    </w:p>
    <w:sectPr w:rsidR="00FC693F" w:rsidRPr="0006063C" w:rsidSect="00034616">
      <w:footerReference w:type="default" r:id="rId13"/>
      <w:pgSz w:w="12240" w:h="15840"/>
      <w:pgMar w:top="1440" w:right="180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