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https://kubernetes.io/docs/concepts/policy/resource-quotas/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pods-high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200Gi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pods-medium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20Gi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pods-low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10Gi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high-priority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high-priority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"while true; do echo hello; sleep 10;done"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"10Gi"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"10Gi"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priorityClassName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policy/resource-quo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