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B40E17"/>
          <w:sz w:val="28"/>
          <w:szCs w:val="28"/>
        </w:rPr>
        <w:t xml:space="preserve">A PROJECT TITLE</w:t>
      </w:r>
    </w:p>
    <w:p>
      <w:pPr>
        <w:spacing w:after="80"/>
        <w:jc w:val="center"/>
      </w:pPr>
      <w:r>
        <w:rPr>
          <w:b/>
          <w:bCs/>
          <w:color w:val="B40E17"/>
          <w:sz w:val="26"/>
          <w:szCs w:val="26"/>
        </w:rPr>
        <w:t xml:space="preserve">ON</w:t>
      </w:r>
    </w:p>
    <w:p>
      <w:pPr>
        <w:spacing w:after="170"/>
        <w:jc w:val="center"/>
      </w:pPr>
      <w:r>
        <w:rPr>
          <w:b/>
          <w:bCs/>
          <w:color w:val="345A7D"/>
          <w:sz w:val="27"/>
          <w:szCs w:val="27"/>
        </w:rPr>
        <w:t xml:space="preserve">Loan Default Prediction Using Random Forest and Gradient Boosting Models</w:t>
      </w:r>
    </w:p>
    <w:p>
      <w:pPr>
        <w:spacing w:after="270"/>
        <w:jc w:val="center"/>
      </w:pPr>
      <w:r>
        <w:rPr>
          <w:b w:val="false"/>
          <w:bCs w:val="false"/>
          <w:color w:val="345A7D"/>
          <w:sz w:val="20"/>
          <w:szCs w:val="20"/>
        </w:rPr>
        <w:t xml:space="preserve">Project report submitted in partial fulfilment of the requirements for the Course</w:t>
      </w:r>
    </w:p>
    <w:p>
      <w:pPr>
        <w:spacing w:after="170"/>
        <w:jc w:val="center"/>
      </w:pPr>
      <w:r>
        <w:rPr>
          <w:b/>
          <w:bCs/>
          <w:color w:val="171717"/>
          <w:sz w:val="28"/>
          <w:szCs w:val="28"/>
        </w:rPr>
        <w:t xml:space="preserve">MACHINE LEARNING</w:t>
      </w:r>
    </w:p>
    <w:p>
      <w:pPr>
        <w:spacing w:after="170"/>
        <w:jc w:val="center"/>
      </w:pPr>
      <w:r>
        <w:rPr>
          <w:b/>
          <w:bCs/>
          <w:color w:val="171717"/>
          <w:sz w:val="27"/>
          <w:szCs w:val="27"/>
        </w:rPr>
        <w:t xml:space="preserve">BACHELOR OF TECHNOLOGY</w:t>
      </w:r>
    </w:p>
    <w:p>
      <w:pPr>
        <w:spacing w:after="300"/>
        <w:jc w:val="center"/>
      </w:pPr>
      <w:r>
        <w:rPr>
          <w:b/>
          <w:bCs/>
          <w:color w:val="171717"/>
          <w:sz w:val="23"/>
          <w:szCs w:val="23"/>
        </w:rPr>
        <w:t xml:space="preserve">A.Y.: 2026–27</w:t>
      </w:r>
    </w:p>
    <w:p>
      <w:pPr>
        <w:spacing w:after="140"/>
        <w:jc w:val="center"/>
      </w:pPr>
      <w:r>
        <w:rPr>
          <w:b/>
          <w:bCs/>
          <w:color w:val="171717"/>
          <w:sz w:val="23"/>
          <w:szCs w:val="23"/>
        </w:rPr>
        <w:t xml:space="preserve">By</w:t>
      </w:r>
    </w:p>
    <w:p>
      <w:pPr>
        <w:spacing w:after="90"/>
        <w:jc w:val="center"/>
      </w:pPr>
      <w:r>
        <w:rPr>
          <w:b/>
          <w:bCs/>
          <w:color w:val="171717"/>
          <w:sz w:val="20"/>
          <w:szCs w:val="20"/>
        </w:rPr>
        <w:t xml:space="preserve">ARIKATLA NAGA JYOTHI    |    2520030208</w:t>
      </w:r>
    </w:p>
    <w:p>
      <w:pPr>
        <w:spacing w:after="90"/>
        <w:jc w:val="center"/>
      </w:pPr>
      <w:r>
        <w:rPr>
          <w:b/>
          <w:bCs/>
          <w:color w:val="171717"/>
          <w:sz w:val="20"/>
          <w:szCs w:val="20"/>
        </w:rPr>
        <w:t xml:space="preserve">ASWIKA INTURI    |    2520030221</w:t>
      </w:r>
    </w:p>
    <w:p>
      <w:pPr>
        <w:spacing w:after="220"/>
        <w:jc w:val="center"/>
      </w:pPr>
      <w:r>
        <w:rPr>
          <w:b/>
          <w:bCs/>
          <w:color w:val="171717"/>
          <w:sz w:val="20"/>
          <w:szCs w:val="20"/>
        </w:rPr>
        <w:t xml:space="preserve">ALAHARI THAPASWI    |    2520030223</w:t>
      </w:r>
    </w:p>
    <w:p>
      <w:pPr>
        <w:spacing w:after="55"/>
        <w:jc w:val="center"/>
      </w:pPr>
      <w:r>
        <w:rPr>
          <w:b/>
          <w:bCs/>
          <w:color w:val="171717"/>
          <w:sz w:val="21"/>
          <w:szCs w:val="21"/>
        </w:rPr>
        <w:t xml:space="preserve">Under the Esteemed Guidance of</w:t>
      </w:r>
    </w:p>
    <w:p>
      <w:pPr>
        <w:spacing w:after="170"/>
        <w:jc w:val="center"/>
      </w:pPr>
      <w:r>
        <w:rPr>
          <w:b w:val="false"/>
          <w:bCs w:val="false"/>
          <w:color w:val="171717"/>
          <w:sz w:val="21"/>
          <w:szCs w:val="21"/>
        </w:rPr>
        <w:t xml:space="preserve">Mr. Gaddam Ravindra Babu</w:t>
      </w:r>
    </w:p>
    <w:p>
      <w:pPr>
        <w:spacing w:after="180"/>
        <w:jc w:val="center"/>
      </w:pPr>
      <w:r>
        <w:rPr>
          <w:b w:val="false"/>
          <w:bCs w:val="false"/>
          <w:color w:val="171717"/>
          <w:sz w:val="19"/>
          <w:szCs w:val="19"/>
        </w:rPr>
        <w:t xml:space="preserve">Assistant Professor, CSE</w:t>
      </w:r>
    </w:p>
    <w:p>
      <w:pPr>
        <w:spacing w:after="120"/>
        <w:jc w:val="center"/>
      </w:pPr>
      <w:r>
        <w:rPr>
          <w:b/>
          <w:bCs/>
          <w:color w:val="171717"/>
          <w:sz w:val="23"/>
          <w:szCs w:val="23"/>
        </w:rPr>
        <w:t xml:space="preserve">Department of Computer Science and Engineering</w:t>
      </w:r>
    </w:p>
    <w:p>
      <w:pPr>
        <w:spacing w:after="200"/>
        <w:jc w:val="center"/>
      </w:pPr>
      <w:r>
        <w:drawing>
          <wp:inline distT="0" distB="0" distL="0" distR="0">
            <wp:extent cx="904875" cy="895350"/>
            <wp:effectExtent t="0" r="0" b="0" l="0"/>
            <wp:docPr id="1" name="University logo" descr="Institutional logo from the uploaded cover page" title="KL University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895350"/>
                    </a:xfrm>
                    <a:prstGeom prst="rect">
                      <a:avLst/>
                    </a:prstGeom>
                  </pic:spPr>
                </pic:pic>
              </a:graphicData>
            </a:graphic>
          </wp:inline>
        </w:drawing>
      </w:r>
    </w:p>
    <w:p>
      <w:pPr>
        <w:spacing w:after="200"/>
        <w:jc w:val="center"/>
      </w:pPr>
      <w:r>
        <w:drawing>
          <wp:inline distT="0" distB="0" distL="0" distR="0">
            <wp:extent cx="4381500" cy="657225"/>
            <wp:effectExtent t="0" r="0" b="0" l="0"/>
            <wp:docPr id="1" name="University logo" descr="Institutional logo from the uploaded cover page" title="KL University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57225"/>
                    </a:xfrm>
                    <a:prstGeom prst="rect">
                      <a:avLst/>
                    </a:prstGeom>
                  </pic:spPr>
                </pic:pic>
              </a:graphicData>
            </a:graphic>
          </wp:inline>
        </w:drawing>
      </w:r>
    </w:p>
    <w:p>
      <w:pPr>
        <w:spacing w:after="40"/>
        <w:jc w:val="center"/>
      </w:pPr>
      <w:r>
        <w:rPr>
          <w:b/>
          <w:bCs/>
          <w:color w:val="171717"/>
          <w:sz w:val="16"/>
          <w:szCs w:val="16"/>
        </w:rPr>
        <w:t xml:space="preserve">Koneru Lakshmaiah Education Foundation</w:t>
      </w:r>
    </w:p>
    <w:p>
      <w:pPr>
        <w:spacing w:after="35"/>
        <w:jc w:val="center"/>
      </w:pPr>
      <w:r>
        <w:rPr>
          <w:b w:val="false"/>
          <w:bCs w:val="false"/>
          <w:color w:val="171717"/>
          <w:sz w:val="14"/>
          <w:szCs w:val="14"/>
        </w:rPr>
        <w:t xml:space="preserve">Off-Campus: Bachupally-Gandimaisamma Road, Bowrampet, Hyderabad, Telangana – 500 043</w:t>
      </w:r>
    </w:p>
    <w:p>
      <w:pPr>
        <w:spacing w:after="0"/>
        <w:jc w:val="center"/>
      </w:pPr>
      <w:r>
        <w:rPr>
          <w:b w:val="false"/>
          <w:bCs w:val="false"/>
          <w:color w:val="171717"/>
          <w:sz w:val="14"/>
          <w:szCs w:val="14"/>
        </w:rPr>
        <w:t xml:space="preserve">Phone: 7815926816  |  www.klh.edu.in</w:t>
      </w:r>
    </w:p>
    <w:p>
      <w:pPr>
        <w:sectPr>
          <w:pgSz w:w="12240" w:h="15840" w:orient="portrait"/>
          <w:pgMar w:top="1050" w:right="1080" w:bottom="950" w:left="1080" w:header="708" w:footer="708" w:gutter="0"/>
          <w:pgNumType/>
          <w:docGrid w:linePitch="360"/>
        </w:sectPr>
      </w:pPr>
    </w:p>
    <w:p>
      <w:pPr>
        <w:pStyle w:val="Heading1"/>
        <w:spacing w:before="250" w:after="100"/>
      </w:pPr>
      <w:r>
        <w:t xml:space="preserve">Abstract</w:t>
      </w:r>
    </w:p>
    <w:p>
      <w:pPr>
        <w:spacing w:after="125" w:line="310"/>
      </w:pPr>
      <w:r>
        <w:rPr>
          <w:color w:val="171717"/>
        </w:rPr>
        <w:t xml:space="preserve">This report proposes a supervised machine learning framework for predicting whether a loan applicant or borrower will default. The proposed workflow compares Random Forest and Gradient Boosting against a Logistic Regression baseline, using information available at the decision point. It covers data validation, missing-value treatment, categorical encoding, training-only transformations, stratified splitting, cross-validated tuning, and evaluation with recall, precision, F1-score, ROC-AUC and precision–recall AUC. Because the supplied project file contains a title page only, no dataset, implementation, or experimental results were provided. Accordingly, the methodology below is a reproducible plan; performance tables and result-specific conclusions are intentionally left pending rather than represented as completed experiments.</w:t>
      </w:r>
    </w:p>
    <w:p>
      <w:pPr>
        <w:spacing w:after="125" w:line="310"/>
      </w:pPr>
      <w:r>
        <w:rPr>
          <w:color w:val="171717"/>
        </w:rPr>
        <w:t xml:space="preserve">Keywords: Loan default prediction; credit risk; Random Forest; Gradient Boosting; class imbalance; model evaluation.</w:t>
      </w:r>
    </w:p>
    <w:p>
      <w:pPr>
        <w:pStyle w:val="Heading1"/>
        <w:spacing w:before="250" w:after="100"/>
      </w:pPr>
      <w:r>
        <w:t xml:space="preserve">1. Introduction</w:t>
      </w:r>
    </w:p>
    <w:p>
      <w:pPr>
        <w:pStyle w:val="Heading2"/>
        <w:spacing w:before="250" w:after="100"/>
      </w:pPr>
      <w:r>
        <w:t xml:space="preserve">1.1 Purpose of the Project</w:t>
      </w:r>
    </w:p>
    <w:p>
      <w:pPr>
        <w:spacing w:after="125" w:line="310"/>
      </w:pPr>
      <w:r>
        <w:rPr>
          <w:color w:val="171717"/>
        </w:rPr>
        <w:t xml:space="preserve">Loan default can create financial losses for lenders and burdens for borrowers. Reliable advance assessment helps lending teams allocate review effort, monitor portfolios, and make more consistent decisions. Borrowers are also affected by erroneous assessments, so the objective is not simply to maximize approvals or minimize defaults.</w:t>
      </w:r>
    </w:p>
    <w:p>
      <w:pPr>
        <w:spacing w:after="125" w:line="310"/>
      </w:pPr>
      <w:r>
        <w:rPr>
          <w:color w:val="171717"/>
        </w:rPr>
        <w:t xml:space="preserve">Conventional screening rules can miss nonlinear relationships among affordability, loan characteristics, and credit history. A machine learning approach can learn patterns in historical loan outcomes, provided records are appropriate, predictions are explainable enough for human oversight, and the evaluation reflects the cost of missing a likely default.</w:t>
      </w:r>
    </w:p>
    <w:p>
      <w:pPr>
        <w:pStyle w:val="Heading2"/>
        <w:spacing w:before="250" w:after="100"/>
      </w:pPr>
      <w:r>
        <w:t xml:space="preserve">1.2 Problem Statement</w:t>
      </w:r>
    </w:p>
    <w:p>
      <w:pPr>
        <w:spacing w:after="125" w:line="310"/>
      </w:pPr>
      <w:r>
        <w:rPr>
          <w:color w:val="171717"/>
        </w:rPr>
        <w:t xml:space="preserve">Given borrower and loan-application attributes known at the specified prediction time, estimate the probability that a loan will enter a clearly defined default state within a fixed follow-up horizon. The binary output is default (1) or non-default (0); the system should also return a probability score. The default definition, horizon, and available features must be fixed before fitting models.</w:t>
      </w:r>
    </w:p>
    <w:p>
      <w:pPr>
        <w:pStyle w:val="Heading2"/>
        <w:spacing w:before="250" w:after="100"/>
      </w:pPr>
      <w:r>
        <w:t xml:space="preserve">1.3 Existing Methods and Disadvantages</w:t>
      </w:r>
    </w:p>
    <w:p>
      <w:pPr>
        <w:spacing w:after="125" w:line="310"/>
      </w:pPr>
      <w:r>
        <w:rPr>
          <w:color w:val="171717"/>
        </w:rPr>
        <w:t xml:space="preserve">Manual review and fixed credit-score or threshold-based rules are comparatively transparent but can be inconsistent and may fail to capture interactions among features. Logistic Regression provides an interpretable statistical baseline but may require explicit feature construction for complex nonlinear effects.</w:t>
      </w:r>
    </w:p>
    <w:p>
      <w:pPr>
        <w:spacing w:after="125" w:line="310"/>
      </w:pPr>
      <w:r>
        <w:rPr>
          <w:color w:val="171717"/>
        </w:rPr>
        <w:t xml:space="preserve">Tree ensembles can represent nonlinear patterns but can overfit noisy data, be harder to explain, and underperform on rare defaults if accuracy is optimized alone. Any method trained on post-decision loan status or repayment information would leak future information into the prediction and yield misleading results. Model comparisons also become unreliable when they use different data splits or preprocessing.</w:t>
      </w:r>
    </w:p>
    <w:p>
      <w:pPr>
        <w:pStyle w:val="Heading2"/>
        <w:spacing w:before="250" w:after="100"/>
      </w:pPr>
      <w:r>
        <w:t xml:space="preserve">1.4 Proposed System</w:t>
      </w:r>
    </w:p>
    <w:p>
      <w:pPr>
        <w:spacing w:after="125" w:line="310"/>
      </w:pPr>
      <w:r>
        <w:rPr>
          <w:color w:val="171717"/>
        </w:rPr>
        <w:t xml:space="preserve">A single leakage-safe pipeline will validate a selected labeled loan dataset; retain only decision-time features; impute missing values and encode categories; train Logistic Regression, Random Forest, and Gradient Boosting; tune on the training partition; and evaluate once on a held-out test set. Stratification and imbalance-aware metrics will be used, with feature importance or permutation importance and calibration considered for decision support.</w:t>
      </w:r>
    </w:p>
    <w:p>
      <w:pPr>
        <w:pStyle w:val="Heading2"/>
        <w:spacing w:before="250" w:after="100"/>
      </w:pPr>
      <w:r>
        <w:t xml:space="preserve">1.5 Research Objectives</w:t>
      </w:r>
    </w:p>
    <w:p>
      <w:pPr>
        <w:pStyle w:val="ListParagraph"/>
        <w:numPr>
          <w:ilvl w:val="0"/>
          <w:numId w:val="2"/>
        </w:numPr>
        <w:spacing w:after="80"/>
      </w:pPr>
      <w:r>
        <w:t xml:space="preserve">Select a lawful, documented loan dataset and define a measurable default outcome and prediction horizon.</w:t>
      </w:r>
    </w:p>
    <w:p>
      <w:pPr>
        <w:pStyle w:val="ListParagraph"/>
        <w:numPr>
          <w:ilvl w:val="0"/>
          <w:numId w:val="2"/>
        </w:numPr>
        <w:spacing w:after="80"/>
      </w:pPr>
      <w:r>
        <w:t xml:space="preserve">Inspect quality and class balance; clean and preprocess data without test-set leakage.</w:t>
      </w:r>
    </w:p>
    <w:p>
      <w:pPr>
        <w:pStyle w:val="ListParagraph"/>
        <w:numPr>
          <w:ilvl w:val="0"/>
          <w:numId w:val="2"/>
        </w:numPr>
        <w:spacing w:after="80"/>
      </w:pPr>
      <w:r>
        <w:t xml:space="preserve">Train a Logistic Regression baseline and compare Random Forest with Gradient Boosting.</w:t>
      </w:r>
    </w:p>
    <w:p>
      <w:pPr>
        <w:pStyle w:val="ListParagraph"/>
        <w:numPr>
          <w:ilvl w:val="0"/>
          <w:numId w:val="2"/>
        </w:numPr>
        <w:spacing w:after="80"/>
      </w:pPr>
      <w:r>
        <w:t xml:space="preserve">Tune models with stratified cross-validation and a consistent search budget.</w:t>
      </w:r>
    </w:p>
    <w:p>
      <w:pPr>
        <w:pStyle w:val="ListParagraph"/>
        <w:numPr>
          <w:ilvl w:val="0"/>
          <w:numId w:val="2"/>
        </w:numPr>
        <w:spacing w:after="80"/>
      </w:pPr>
      <w:r>
        <w:t xml:space="preserve">Evaluate minority-class detection, ranking quality, calibration, and false-positive trade-offs.</w:t>
      </w:r>
    </w:p>
    <w:p>
      <w:pPr>
        <w:pStyle w:val="ListParagraph"/>
        <w:numPr>
          <w:ilvl w:val="0"/>
          <w:numId w:val="2"/>
        </w:numPr>
        <w:spacing w:after="80"/>
      </w:pPr>
      <w:r>
        <w:t xml:space="preserve">Identify the strongest candidate on held-out evidence and document limitations for real-world use.</w:t>
      </w:r>
    </w:p>
    <w:p>
      <w:pPr>
        <w:pStyle w:val="Heading1"/>
        <w:spacing w:before="250" w:after="100"/>
      </w:pPr>
      <w:r>
        <w:t xml:space="preserve">2. Literature Survey</w:t>
      </w:r>
    </w:p>
    <w:p>
      <w:pPr>
        <w:spacing w:after="125" w:line="310"/>
      </w:pPr>
      <w:r>
        <w:rPr>
          <w:color w:val="171717"/>
        </w:rPr>
        <w:t xml:space="preserve">The following ten recent, directly related publications were located by DOI. The “inference” column describes their relevance to this report, not a reproduced result from our project. Bibliographic metadata should be checked against publisher records before submission.</w:t>
      </w:r>
    </w:p>
    <w:p>
      <w:pPr>
        <w:sectPr>
          <w:footerReference w:type="default" r:id="rId6"/>
          <w:type w:val="nextPage"/>
          <w:pgSz w:w="12240" w:h="15840" w:orient="portrait"/>
          <w:pgMar w:top="1050" w:right="1080" w:bottom="950" w:left="1080" w:header="708" w:footer="708" w:gutter="0"/>
          <w:pgNumType/>
          <w:docGrid w:linePitch="360"/>
        </w:sectPr>
      </w:pPr>
    </w:p>
    <w:p>
      <w:pPr>
        <w:pStyle w:val="Heading1"/>
        <w:spacing w:before="250" w:after="100"/>
      </w:pPr>
      <w:r>
        <w:t xml:space="preserve">2. Literature Survey (continued)</w:t>
      </w:r>
    </w:p>
    <w:tbl>
      <w:tblPr>
        <w:tblW w:type="dxa" w:w="12340"/>
        <w:tblBorders>
          <w:top w:val="single" w:color="auto" w:sz="4"/>
          <w:left w:val="single" w:color="auto" w:sz="4"/>
          <w:bottom w:val="single" w:color="auto" w:sz="4"/>
          <w:right w:val="single" w:color="auto" w:sz="4"/>
          <w:insideH w:val="single" w:color="auto" w:sz="4"/>
          <w:insideV w:val="single" w:color="auto" w:sz="4"/>
        </w:tblBorders>
      </w:tblPr>
      <w:tblGrid>
        <w:gridCol w:w="460"/>
        <w:gridCol w:w="2030"/>
        <w:gridCol w:w="2320"/>
        <w:gridCol w:w="1650"/>
        <w:gridCol w:w="1560"/>
        <w:gridCol w:w="1730"/>
        <w:gridCol w:w="1650"/>
        <w:gridCol w:w="940"/>
      </w:tblGrid>
      <w:tr>
        <w:trPr>
          <w:tblHeader/>
        </w:trPr>
        <w:tc>
          <w:tcPr>
            <w:tcW w:type="dxa" w:w="46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S. No.</w:t>
            </w:r>
          </w:p>
        </w:tc>
        <w:tc>
          <w:tcPr>
            <w:tcW w:type="dxa" w:w="203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Title</w:t>
            </w:r>
          </w:p>
        </w:tc>
        <w:tc>
          <w:tcPr>
            <w:tcW w:type="dxa" w:w="23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Reference with DOI</w:t>
            </w:r>
          </w:p>
        </w:tc>
        <w:tc>
          <w:tcPr>
            <w:tcW w:type="dxa" w:w="165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Problem or gap addressed</w:t>
            </w:r>
          </w:p>
        </w:tc>
        <w:tc>
          <w:tcPr>
            <w:tcW w:type="dxa" w:w="156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Objective of research</w:t>
            </w:r>
          </w:p>
        </w:tc>
        <w:tc>
          <w:tcPr>
            <w:tcW w:type="dxa" w:w="173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Methods used</w:t>
            </w:r>
          </w:p>
        </w:tc>
        <w:tc>
          <w:tcPr>
            <w:tcW w:type="dxa" w:w="165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Inference</w:t>
            </w:r>
          </w:p>
        </w:tc>
        <w:tc>
          <w:tcPr>
            <w:tcW w:type="dxa" w:w="94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Future research</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1</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Loan default predictability with explainable machine learning</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Li, Wu (2024); Finance Research Letters; DOI: 10.1016/j.frl.2023.104867</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Explaining which borrowers may default</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Compare interpretable prediction approaches</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Explainable ML for loan default</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Highlights value of explanation alongside risk scores</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Test explanations across lenders</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2</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Machine Learning XAI for Early Loan Default Prediction</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Monje, Carrasco, Sánchez-Montañés (2025); Computational Economics; DOI: 10.1007/s10614-025-10962-9</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Early warning with interpretable outputs</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Predict default earlier in loan life</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XGBoost with linguistic surrogate explanations</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Shows predictive and understandable outputs can coexist</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Validate across earlier time windows</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3</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Ensemble-Based Machine Learning Algorithm for Loan Default Risk Prediction</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Akinjole, Shobayo, Popoola, Okoyeigbo, Ogunleye (2024); Mathematics; DOI: 10.3390/math12213423</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Class imbalance in loan records</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Compare ensembles and resampling</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RF, XGBoost, AdaBoost and imbalance treatments</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Supports explicit comparison of imbalance strategies</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Test calibration and external datasets</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4</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Explainable Machine Learning Framework for Predicting Auto Loan Defaults</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Xie, Shingadia (2025); Risks; DOI: 10.3390/risks13090172</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Auto-loan imbalance and explainability</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Improve auto-loan risk identification</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LR, RF, XGBoost, stacking; SHAP and resampling</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Combines feature selection and resampling</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Test beyond vehicle lending</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5</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Explainable prediction of loan default based on machine learning models</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Zhu, Chu, Song, Hu, Peng (2023); Data Science and Management; DOI: 10.1016/j.dsm.2023.04.003</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Opaque loan-default classifications</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Explain risk predictions</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ML models with explanation analysis</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Interpretability is a relevant evaluation dimension</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Examine explanation stability</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6</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Prediction of bank credit worthiness through credit risk analysis: an explainable machine learning study</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Chang, Xu, Akinloye, Benson, Hall (2024); Annals of Operations Research; DOI: 10.1007/s10479-024-06134-x</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Low transparency in bank credit decisions</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Improve creditworthiness assessment</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Random Forest, Gradient Boosting and importance ranking</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Pairs predictive modeling with transparency</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Assess fairness and transferability</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7</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Predicting Loan Default: A Comparative Analysis of Multiple Machine Learning Models</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Jiang (2024); Highlights in Science, Engineering and Technology; DOI: 10.54097/10dk2m95</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Choosing suitable classifiers</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Compare predictive performance</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LR, XGBoost, ANN and hybrid XGB+LR</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Demonstrates comparative benchmarking</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Test under different data distributions</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8</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Loan Default Prediction Using Machine Learning Algorithms</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Teh, Kang, Tan, Ng (2025); Journal of Informatics and Web Engineering; DOI: 10.33093/jiwe.2025.4.3.14</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Unbalanced classes and model selection</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Compare loan classifiers</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Decision Tree, RF, XGBoost, LightGBM; SMOTE</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Shows benefit of comparing multiple tree ensembles</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Evaluate robustness on new cohorts</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9</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Vehicle Loan Default Prediction Based on Machine Learning</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Wu (2025); Theoretical and Natural Science; DOI: 10.54254/2753-8818/2025.ad26291</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Vehicle-loan risk and explanation</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Compare models and identify drivers</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XGBoost, LightGBM, SHAP, LIME, SMOTE</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Shows importance of domain-specific features</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Check temporal validity and drift</w:t>
            </w:r>
          </w:p>
        </w:tc>
      </w:tr>
      <w:tr>
        <w:trPr>
          <w:cantSplit/>
        </w:trPr>
        <w:tc>
          <w:tcPr>
            <w:tcW w:type="dxa" w:w="4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10</w:t>
            </w:r>
          </w:p>
        </w:tc>
        <w:tc>
          <w:tcPr>
            <w:tcW w:type="dxa" w:w="20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Application of Machine Learning in Loan Default Prediction</w:t>
            </w:r>
          </w:p>
        </w:tc>
        <w:tc>
          <w:tcPr>
            <w:tcW w:type="dxa" w:w="23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Fang, Ji (2024); Mathematical Modeling and Algorithm Application; DOI: 10.54097/75k4fe13</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Application of ML to loan screening</w:t>
            </w:r>
          </w:p>
        </w:tc>
        <w:tc>
          <w:tcPr>
            <w:tcW w:type="dxa" w:w="156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Explore predictive techniques</w:t>
            </w:r>
          </w:p>
        </w:tc>
        <w:tc>
          <w:tcPr>
            <w:tcW w:type="dxa" w:w="173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Loan-default ML application</w:t>
            </w:r>
          </w:p>
        </w:tc>
        <w:tc>
          <w:tcPr>
            <w:tcW w:type="dxa" w:w="165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Motivates systematic, comparable evaluation</w:t>
            </w:r>
          </w:p>
        </w:tc>
        <w:tc>
          <w:tcPr>
            <w:tcW w:type="dxa" w:w="94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Expand dataset and external validation</w:t>
            </w:r>
          </w:p>
        </w:tc>
      </w:tr>
    </w:tbl>
    <w:p>
      <w:pPr>
        <w:sectPr>
          <w:footerReference w:type="default" r:id="rId7"/>
          <w:type w:val="nextPage"/>
          <w:pgSz w:w="15840" w:h="12240" w:orient="landscape"/>
          <w:pgMar w:top="850" w:right="750" w:bottom="850" w:left="750" w:header="708" w:footer="708" w:gutter="0"/>
          <w:pgNumType/>
          <w:docGrid w:linePitch="360"/>
        </w:sectPr>
      </w:pPr>
    </w:p>
    <w:p>
      <w:pPr>
        <w:pStyle w:val="Heading1"/>
        <w:spacing w:before="250" w:after="100"/>
      </w:pPr>
      <w:r>
        <w:t xml:space="preserve">3. Methodology</w:t>
      </w:r>
    </w:p>
    <w:p>
      <w:pPr>
        <w:pStyle w:val="Heading2"/>
        <w:spacing w:before="250" w:after="100"/>
      </w:pPr>
      <w:r>
        <w:t xml:space="preserve">3.1 Proposed System Flow Diagram</w:t>
      </w:r>
    </w:p>
    <w:p>
      <w:pPr>
        <w:spacing w:after="125" w:line="310"/>
      </w:pPr>
      <w:r>
        <w:rPr>
          <w:color w:val="171717"/>
        </w:rPr>
        <w:t xml:space="preserve">Figure 1. Proposed workflow (planned; not evidence of a completed experiment).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20"/>
        <w:gridCol w:w="1720"/>
        <w:gridCol w:w="1720"/>
        <w:gridCol w:w="1720"/>
        <w:gridCol w:w="1720"/>
      </w:tblGrid>
      <w:tr>
        <w:trPr>
          <w:tblHeader/>
        </w:trPr>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Data &amp; label definition</w:t>
            </w:r>
          </w:p>
        </w:tc>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Partition</w:t>
            </w:r>
          </w:p>
        </w:tc>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Training-only preparation</w:t>
            </w:r>
          </w:p>
        </w:tc>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Fit &amp; tune</w:t>
            </w:r>
          </w:p>
        </w:tc>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Held-out assessment</w:t>
            </w:r>
          </w:p>
        </w:tc>
      </w:tr>
      <w:tr>
        <w:trPr>
          <w:cantSplit/>
        </w:trPr>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Loan records → define default horizon</w:t>
            </w:r>
          </w:p>
        </w:tc>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Train / test split → stratify</w:t>
            </w:r>
          </w:p>
        </w:tc>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Impute → encode → optional scale → resample only within folds</w:t>
            </w:r>
          </w:p>
        </w:tc>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Baseline → Random Forest → Gradient Boosting → cross-validation</w:t>
            </w:r>
          </w:p>
        </w:tc>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Threshold → metrics → calibration → explanation</w:t>
            </w:r>
          </w:p>
        </w:tc>
      </w:tr>
    </w:tbl>
    <w:p>
      <w:pPr>
        <w:pStyle w:val="Heading2"/>
        <w:spacing w:before="250" w:after="100"/>
      </w:pPr>
      <w:r>
        <w:t xml:space="preserve">3.2 Dataset Description</w:t>
      </w:r>
    </w:p>
    <w:p>
      <w:pPr>
        <w:spacing w:after="125" w:line="310"/>
      </w:pPr>
      <w:r>
        <w:rPr>
          <w:color w:val="171717"/>
        </w:rPr>
        <w:t xml:space="preserve">Dataset: not specified in the supplied materials. Record the dataset name, provider or link, access date, license/permission, number of records, number and types of predictors, observation dates, inclusion criteria, exact label construction, default follow-up horizon, and class distribution once selected. Candidate fields may include loan amount, term, interest rate, income and credit-history variables, but they must not be asserted as present until the dataset is inspected. Remove identifiers and all fields recorded after the prediction time.</w:t>
      </w:r>
    </w:p>
    <w:p>
      <w:pPr>
        <w:pStyle w:val="Heading2"/>
        <w:spacing w:before="250" w:after="100"/>
      </w:pPr>
      <w:r>
        <w:t xml:space="preserve">3.3 Experimental Setup</w:t>
      </w:r>
    </w:p>
    <w:p>
      <w:pPr>
        <w:spacing w:after="125" w:line="310"/>
      </w:pPr>
      <w:r>
        <w:rPr>
          <w:color w:val="171717"/>
        </w:rPr>
        <w:t xml:space="preserve">Environment: to be recorded after implementation (computer specifications, operating system, Python version, notebook/IDE, and library versions). A suitable proposed stack is Python with pandas, NumPy, scikit-learn, Matplotlib and Seaborn. Preserve the random seed, train/test indices, package versions and parameter grids for reproducibility.</w:t>
      </w:r>
    </w:p>
    <w:p>
      <w:pPr>
        <w:pStyle w:val="Heading2"/>
        <w:spacing w:before="250" w:after="100"/>
      </w:pPr>
      <w:r>
        <w:t xml:space="preserve">3.4 Data Preprocessing</w:t>
      </w:r>
    </w:p>
    <w:p>
      <w:pPr>
        <w:pStyle w:val="ListParagraph"/>
        <w:numPr>
          <w:ilvl w:val="0"/>
          <w:numId w:val="2"/>
        </w:numPr>
        <w:spacing w:after="80"/>
      </w:pPr>
      <w:r>
        <w:t xml:space="preserve">Validate schema, data types, ranges, identifiers, timestamps, label coding and duplicate records.</w:t>
      </w:r>
    </w:p>
    <w:p>
      <w:pPr>
        <w:pStyle w:val="ListParagraph"/>
        <w:numPr>
          <w:ilvl w:val="0"/>
          <w:numId w:val="2"/>
        </w:numPr>
        <w:spacing w:after="80"/>
      </w:pPr>
      <w:r>
        <w:t xml:space="preserve">Report missingness by field; fit median imputation for numerical features and most-frequent or explicit missing-category handling for categorical features on training data only.</w:t>
      </w:r>
    </w:p>
    <w:p>
      <w:pPr>
        <w:pStyle w:val="ListParagraph"/>
        <w:numPr>
          <w:ilvl w:val="0"/>
          <w:numId w:val="2"/>
        </w:numPr>
        <w:spacing w:after="80"/>
      </w:pPr>
      <w:r>
        <w:t xml:space="preserve">Inspect implausible values and outliers; correct documented errors rather than indiscriminately removing legitimate high-risk loans.</w:t>
      </w:r>
    </w:p>
    <w:p>
      <w:pPr>
        <w:pStyle w:val="ListParagraph"/>
        <w:numPr>
          <w:ilvl w:val="0"/>
          <w:numId w:val="2"/>
        </w:numPr>
        <w:spacing w:after="80"/>
      </w:pPr>
      <w:r>
        <w:t xml:space="preserve">Use one-hot encoding with unknown-category handling; standardize numerical features only for algorithms that require it, with parameters learned from training folds.</w:t>
      </w:r>
    </w:p>
    <w:p>
      <w:pPr>
        <w:pStyle w:val="ListParagraph"/>
        <w:numPr>
          <w:ilvl w:val="0"/>
          <w:numId w:val="2"/>
        </w:numPr>
        <w:spacing w:after="80"/>
      </w:pPr>
      <w:r>
        <w:t xml:space="preserve">Create a stratified held-out test split (for example, 80/20) or a time-ordered split when future deployment is the goal; never fit any transform on test data.</w:t>
      </w:r>
    </w:p>
    <w:p>
      <w:pPr>
        <w:pStyle w:val="ListParagraph"/>
        <w:numPr>
          <w:ilvl w:val="0"/>
          <w:numId w:val="2"/>
        </w:numPr>
        <w:spacing w:after="80"/>
      </w:pPr>
      <w:r>
        <w:t xml:space="preserve">If oversampling or class weighting is needed, apply it only within cross-validation training folds, never before splitting.</w:t>
      </w:r>
    </w:p>
    <w:p>
      <w:pPr>
        <w:pStyle w:val="Heading2"/>
        <w:spacing w:before="250" w:after="100"/>
      </w:pPr>
      <w:r>
        <w:t xml:space="preserve">3.5 Exploratory Data Analysis</w:t>
      </w:r>
    </w:p>
    <w:p>
      <w:pPr>
        <w:spacing w:after="125" w:line="310"/>
      </w:pPr>
      <w:r>
        <w:rPr>
          <w:color w:val="171717"/>
        </w:rPr>
        <w:t xml:space="preserve">On the training partition, visualize the default/non-default counts and rates, numeric distributions and box plots by outcome, missingness, and relationships among candidate features. Investigate suspiciously predictive fields for leakage. These figures remain pending until the dataset is supplied.</w:t>
      </w:r>
    </w:p>
    <w:p>
      <w:pPr>
        <w:pStyle w:val="Heading2"/>
        <w:spacing w:before="250" w:after="100"/>
      </w:pPr>
      <w:r>
        <w:t xml:space="preserve">3.6 Feature Engineering and Feature Selection</w:t>
      </w:r>
    </w:p>
    <w:p>
      <w:pPr>
        <w:spacing w:after="125" w:line="310"/>
      </w:pPr>
      <w:r>
        <w:rPr>
          <w:color w:val="171717"/>
        </w:rPr>
        <w:t xml:space="preserve">Where supported by source fields, consider debt-to-income ratio, credit utilization, and loan-to-income ratio; protect against zero denominators and record units. Exclude borrower IDs, sensitive fields unless a justified fairness audit is conducted, and variables unavailable at the decision point. Select features only within training folds using domain reasoning and permutation importance; do not select on test-set outcomes.</w:t>
      </w:r>
    </w:p>
    <w:p>
      <w:pPr>
        <w:pStyle w:val="Heading2"/>
        <w:spacing w:before="250" w:after="100"/>
      </w:pPr>
      <w:r>
        <w:t xml:space="preserve">3.7 Model Building and Training</w:t>
      </w:r>
    </w:p>
    <w:p>
      <w:pPr>
        <w:spacing w:after="125" w:line="310"/>
      </w:pPr>
      <w:r>
        <w:rPr>
          <w:color w:val="171717"/>
        </w:rPr>
        <w:t xml:space="preserve">Fit a dummy majority-class reference and Logistic Regression baseline, then Random Forest (bagged decision trees) and Gradient Boosting (sequential trees). The first named approach can reduce variance through averaging; the second can iteratively correct earlier errors. Use consistent inputs, partitions, validation folds and positive-class definition. Output default probability where the estimator supports it. No training has been performed for this report draft.</w:t>
      </w:r>
    </w:p>
    <w:p>
      <w:pPr>
        <w:pStyle w:val="Heading2"/>
        <w:spacing w:before="250" w:after="100"/>
      </w:pPr>
      <w:r>
        <w:t xml:space="preserve">3.8 Hyperparameter Tuning</w:t>
      </w:r>
    </w:p>
    <w:p>
      <w:pPr>
        <w:spacing w:after="125" w:line="310"/>
      </w:pPr>
      <w:r>
        <w:rPr>
          <w:color w:val="171717"/>
        </w:rPr>
        <w:t xml:space="preserve">Use stratified five-fold cross-validation on training data and a bounded randomized or grid search. Candidate Random Forest settings: tree count, maximum depth, minimum leaf size, and maximum features. Candidate Gradient Boosting settings: estimators, learning rate, maximum depth/leaf complexity, and subsample fraction when supported. Select a primary metric such as average precision or F1 after considering business costs; lock the chosen configuration before the final test evaluation.</w:t>
      </w:r>
    </w:p>
    <w:p>
      <w:pPr>
        <w:pStyle w:val="Heading2"/>
        <w:spacing w:before="250" w:after="100"/>
      </w:pPr>
      <w:r>
        <w:t xml:space="preserve">3.9 Model Evaluation</w:t>
      </w:r>
    </w:p>
    <w:p>
      <w:pPr>
        <w:spacing w:after="125" w:line="310"/>
      </w:pPr>
      <w:r>
        <w:rPr>
          <w:color w:val="171717"/>
        </w:rPr>
        <w:t xml:space="preserve">Report confusion matrix, precision = TP/(TP+FP), recall = TP/(TP+FN), F1 = 2PR/(P+R), ROC-AUC and precision–recall AUC. Also report support by class and a calibration curve or Brier score for probability quality. Select an operating threshold using validation data, not the test set; compare false negatives (missed defaults) against false positives (unnecessary risk flags). If deployment is intended, evaluate subgroup performance and temporal stability.</w:t>
      </w:r>
    </w:p>
    <w:p>
      <w:pPr>
        <w:pStyle w:val="Heading1"/>
        <w:spacing w:before="250" w:after="100"/>
      </w:pPr>
      <w:r>
        <w:t xml:space="preserve">4. Results and Discussion</w:t>
      </w:r>
    </w:p>
    <w:p>
      <w:pPr>
        <w:pStyle w:val="Heading2"/>
        <w:spacing w:before="250" w:after="100"/>
      </w:pPr>
      <w:r>
        <w:t xml:space="preserve">4.1 Preprocessing Results</w:t>
      </w:r>
    </w:p>
    <w:p>
      <w:pPr>
        <w:spacing w:after="125" w:line="310"/>
      </w:pPr>
      <w:r>
        <w:rPr>
          <w:color w:val="171717"/>
        </w:rPr>
        <w:t xml:space="preserve">Pending dataset and implementation. Fill in: raw row and column counts; records excluded with reasons; missing values before and after treatment; default rate; training/test counts; categorical levels; and final transformed feature count. No observed values were supplied.</w:t>
      </w:r>
    </w:p>
    <w:p>
      <w:pPr>
        <w:pStyle w:val="Heading2"/>
        <w:spacing w:before="250" w:after="100"/>
      </w:pPr>
      <w:r>
        <w:t xml:space="preserve">4.2 Model Performance</w:t>
      </w:r>
    </w:p>
    <w:p>
      <w:pPr>
        <w:spacing w:after="125" w:line="310"/>
      </w:pPr>
      <w:r>
        <w:rPr>
          <w:color w:val="171717"/>
        </w:rPr>
        <w:t xml:space="preserve">Table 2 is a reporting framework, not an experimental result. “Pending” means the models have not been run on a supplied dataset. Published studies above are not directly comparable to this table unless they use the same data and protocol.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20"/>
        <w:gridCol w:w="1080"/>
        <w:gridCol w:w="1080"/>
        <w:gridCol w:w="1080"/>
        <w:gridCol w:w="1080"/>
        <w:gridCol w:w="1080"/>
        <w:gridCol w:w="1080"/>
      </w:tblGrid>
      <w:tr>
        <w:trPr>
          <w:tblHeader/>
        </w:trPr>
        <w:tc>
          <w:tcPr>
            <w:tcW w:type="dxa" w:w="172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Model</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Accuracy</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Precision</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Recall</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F1-score</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ROC-AUC</w:t>
            </w:r>
          </w:p>
        </w:tc>
        <w:tc>
          <w:tcPr>
            <w:tcW w:type="dxa" w:w="1080"/>
            <w:tcBorders>
              <w:top w:val="single" w:color="B9C3CE" w:sz="4"/>
              <w:left w:val="single" w:color="B9C3CE" w:sz="4"/>
              <w:bottom w:val="single" w:color="B9C3CE" w:sz="4"/>
              <w:right w:val="single" w:color="B9C3CE" w:sz="4"/>
            </w:tcBorders>
            <w:shd w:fill="EAF0F6" w:val="clear"/>
            <w:tcMar>
              <w:top w:type="dxa" w:w="75"/>
              <w:left w:type="dxa" w:w="80"/>
              <w:bottom w:type="dxa" w:w="75"/>
              <w:right w:type="dxa" w:w="80"/>
            </w:tcMar>
          </w:tcPr>
          <w:p>
            <w:pPr>
              <w:spacing w:after="0"/>
            </w:pPr>
            <w:r>
              <w:rPr>
                <w:b/>
                <w:bCs/>
                <w:color w:val="171717"/>
                <w:sz w:val="17"/>
                <w:szCs w:val="17"/>
              </w:rPr>
              <w:t xml:space="preserve">PR-AUC</w:t>
            </w:r>
          </w:p>
        </w:tc>
      </w:tr>
      <w:tr>
        <w:trPr>
          <w:cantSplit/>
        </w:trPr>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Majority-class baseline</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r>
      <w:tr>
        <w:trPr>
          <w:cantSplit/>
        </w:trPr>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Logistic Regression</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r>
      <w:tr>
        <w:trPr>
          <w:cantSplit/>
        </w:trPr>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Random Forest</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r>
      <w:tr>
        <w:trPr>
          <w:cantSplit/>
        </w:trPr>
        <w:tc>
          <w:tcPr>
            <w:tcW w:type="dxa" w:w="172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Gradient Boosting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c>
          <w:tcPr>
            <w:tcW w:type="dxa" w:w="1080"/>
            <w:tcBorders>
              <w:top w:val="single" w:color="B9C3CE" w:sz="4"/>
              <w:left w:val="single" w:color="B9C3CE" w:sz="4"/>
              <w:bottom w:val="single" w:color="B9C3CE" w:sz="4"/>
              <w:right w:val="single" w:color="B9C3CE" w:sz="4"/>
            </w:tcBorders>
            <w:tcMar>
              <w:top w:type="dxa" w:w="75"/>
              <w:left w:type="dxa" w:w="80"/>
              <w:bottom w:type="dxa" w:w="75"/>
              <w:right w:type="dxa" w:w="80"/>
            </w:tcMar>
          </w:tcPr>
          <w:p>
            <w:pPr>
              <w:spacing w:after="0"/>
            </w:pPr>
            <w:r>
              <w:rPr>
                <w:b w:val="false"/>
                <w:bCs w:val="false"/>
                <w:color w:val="171717"/>
                <w:sz w:val="16"/>
                <w:szCs w:val="16"/>
              </w:rPr>
              <w:t xml:space="preserve">Pending</w:t>
            </w:r>
          </w:p>
        </w:tc>
      </w:tr>
    </w:tbl>
    <w:p>
      <w:pPr>
        <w:pStyle w:val="Heading2"/>
        <w:spacing w:before="250" w:after="100"/>
      </w:pPr>
      <w:r>
        <w:t xml:space="preserve">4.3 Visual Results and Discussion</w:t>
      </w:r>
    </w:p>
    <w:p>
      <w:pPr>
        <w:spacing w:after="125" w:line="310"/>
      </w:pPr>
      <w:r>
        <w:rPr>
          <w:color w:val="171717"/>
        </w:rPr>
        <w:t xml:space="preserve">Figures pending: default distribution, confusion matrices on the held-out set, ROC and precision–recall curves, calibration curves, and permutation importance. Once values exist, discuss whether Random Forest or Gradient Boosting improves on the baseline, identify model-specific errors, and interpret changes in recall against precision. Without observations, no “best model” or accuracy claim can be made.</w:t>
      </w:r>
    </w:p>
    <w:p>
      <w:pPr>
        <w:pStyle w:val="Heading1"/>
        <w:spacing w:before="250" w:after="100"/>
      </w:pPr>
      <w:r>
        <w:t xml:space="preserve">5. Conclusion</w:t>
      </w:r>
    </w:p>
    <w:p>
      <w:pPr>
        <w:spacing w:after="125" w:line="310"/>
      </w:pPr>
      <w:r>
        <w:rPr>
          <w:color w:val="171717"/>
        </w:rPr>
        <w:t xml:space="preserve">This report defines a reproducible plan for loan default prediction using Random Forest and Gradient Boosting, with Logistic Regression as a baseline. A time-consistent label, leakage-safe processing, stratified validation and imbalance-aware metrics are central to credible assessment. Since the submitted materials provided neither a substantive abstract nor a dataset or experimental output, the effectiveness and best-performing model remain undetermined.</w:t>
      </w:r>
    </w:p>
    <w:p>
      <w:pPr>
        <w:pStyle w:val="Heading1"/>
        <w:spacing w:before="250" w:after="100"/>
      </w:pPr>
      <w:r>
        <w:t xml:space="preserve">6. Future Work</w:t>
      </w:r>
    </w:p>
    <w:p>
      <w:pPr>
        <w:pStyle w:val="ListParagraph"/>
        <w:numPr>
          <w:ilvl w:val="0"/>
          <w:numId w:val="2"/>
        </w:numPr>
        <w:spacing w:after="80"/>
      </w:pPr>
      <w:r>
        <w:t xml:space="preserve">Train and assess the models on a documented, legally usable dataset with a well-defined default horizon.</w:t>
      </w:r>
    </w:p>
    <w:p>
      <w:pPr>
        <w:pStyle w:val="ListParagraph"/>
        <w:numPr>
          <w:ilvl w:val="0"/>
          <w:numId w:val="2"/>
        </w:numPr>
        <w:spacing w:after="80"/>
      </w:pPr>
      <w:r>
        <w:t xml:space="preserve">Test additional ensembles and probability calibration while retaining comparable validation conditions.</w:t>
      </w:r>
    </w:p>
    <w:p>
      <w:pPr>
        <w:pStyle w:val="ListParagraph"/>
        <w:numPr>
          <w:ilvl w:val="0"/>
          <w:numId w:val="2"/>
        </w:numPr>
        <w:spacing w:after="80"/>
      </w:pPr>
      <w:r>
        <w:t xml:space="preserve">Examine explainability, fairness, model drift, and robustness on external or later-time records.</w:t>
      </w:r>
    </w:p>
    <w:p>
      <w:pPr>
        <w:pStyle w:val="ListParagraph"/>
        <w:numPr>
          <w:ilvl w:val="0"/>
          <w:numId w:val="2"/>
        </w:numPr>
        <w:spacing w:after="80"/>
      </w:pPr>
      <w:r>
        <w:t xml:space="preserve">Evaluate human-in-the-loop decision support before any production use.</w:t>
      </w:r>
    </w:p>
    <w:p>
      <w:pPr>
        <w:pStyle w:val="Heading1"/>
        <w:spacing w:before="250" w:after="100"/>
      </w:pPr>
      <w:r>
        <w:t xml:space="preserve">7. References</w:t>
      </w:r>
    </w:p>
    <w:p>
      <w:pPr>
        <w:spacing w:after="115" w:line="275"/>
        <w:rPr>
          <w:sz w:val="18"/>
          <w:szCs w:val="18"/>
        </w:rPr>
      </w:pPr>
      <w:r>
        <w:rPr>
          <w:color w:val="171717"/>
          <w:sz w:val="18"/>
          <w:szCs w:val="18"/>
        </w:rPr>
        <w:t xml:space="preserve">[1] Huan Li, Weixing Wu (2024). Loan default predictability with explainable machine learning. Finance Research Letters, 60, 104867. https://doi.org/10.1016/j.frl.2023.104867</w:t>
      </w:r>
    </w:p>
    <w:p>
      <w:pPr>
        <w:spacing w:after="115" w:line="275"/>
        <w:rPr>
          <w:sz w:val="18"/>
          <w:szCs w:val="18"/>
        </w:rPr>
      </w:pPr>
      <w:r>
        <w:rPr>
          <w:color w:val="171717"/>
          <w:sz w:val="18"/>
          <w:szCs w:val="18"/>
        </w:rPr>
        <w:t xml:space="preserve">[2] Leticia Monje, Ramón Alberto Carrasco, Manuel Sánchez-Montañés (2025). Machine Learning XAI for Early Loan Default Prediction. Computational Economics, 67(5), 4033-4062. https://doi.org/10.1007/s10614-025-10962-9</w:t>
      </w:r>
    </w:p>
    <w:p>
      <w:pPr>
        <w:spacing w:after="115" w:line="275"/>
        <w:rPr>
          <w:sz w:val="18"/>
          <w:szCs w:val="18"/>
        </w:rPr>
      </w:pPr>
      <w:r>
        <w:rPr>
          <w:color w:val="171717"/>
          <w:sz w:val="18"/>
          <w:szCs w:val="18"/>
        </w:rPr>
        <w:t xml:space="preserve">[3] Abisola Akinjole, Olamilekan Shobayo, Jumoke Popoola, Obinna Okoyeigbo, Bayode Ogunleye (2024). Ensemble-Based Machine Learning Algorithm for Loan Default Risk Prediction. Mathematics, 12(21), 3423. https://doi.org/10.3390/math12213423</w:t>
      </w:r>
    </w:p>
    <w:p>
      <w:pPr>
        <w:spacing w:after="115" w:line="275"/>
        <w:rPr>
          <w:sz w:val="18"/>
          <w:szCs w:val="18"/>
        </w:rPr>
      </w:pPr>
      <w:r>
        <w:rPr>
          <w:color w:val="171717"/>
          <w:sz w:val="18"/>
          <w:szCs w:val="18"/>
        </w:rPr>
        <w:t xml:space="preserve">[4] Shengkun Xie, Tara Shingadia (2025). Explainable Machine Learning Framework for Predicting Auto Loan Defaults. Risks, 13(9), 172. https://doi.org/10.3390/risks13090172</w:t>
      </w:r>
    </w:p>
    <w:p>
      <w:pPr>
        <w:spacing w:after="115" w:line="275"/>
        <w:rPr>
          <w:sz w:val="18"/>
          <w:szCs w:val="18"/>
        </w:rPr>
      </w:pPr>
      <w:r>
        <w:rPr>
          <w:color w:val="171717"/>
          <w:sz w:val="18"/>
          <w:szCs w:val="18"/>
        </w:rPr>
        <w:t xml:space="preserve">[5] Xu Zhu, Qingyong Chu, Xinchang Song, Ping Hu, Lu Peng (2023). Explainable prediction of loan default based on machine learning models. Data Science and Management, 6(3), 123-133. https://doi.org/10.1016/j.dsm.2023.04.003</w:t>
      </w:r>
    </w:p>
    <w:p>
      <w:pPr>
        <w:spacing w:after="115" w:line="275"/>
        <w:rPr>
          <w:sz w:val="18"/>
          <w:szCs w:val="18"/>
        </w:rPr>
      </w:pPr>
      <w:r>
        <w:rPr>
          <w:color w:val="171717"/>
          <w:sz w:val="18"/>
          <w:szCs w:val="18"/>
        </w:rPr>
        <w:t xml:space="preserve">[6] Victor Chang, Qianwen Ariel Xu, Shola Habib Akinloye, Vladlena Benson, Karl Hall (2024). Prediction of bank credit worthiness through credit risk analysis: an explainable machine learning study. Annals of Operations Research, 354(1), 247-271. https://doi.org/10.1007/s10479-024-06134-x</w:t>
      </w:r>
    </w:p>
    <w:p>
      <w:pPr>
        <w:spacing w:after="115" w:line="275"/>
        <w:rPr>
          <w:sz w:val="18"/>
          <w:szCs w:val="18"/>
        </w:rPr>
      </w:pPr>
      <w:r>
        <w:rPr>
          <w:color w:val="171717"/>
          <w:sz w:val="18"/>
          <w:szCs w:val="18"/>
        </w:rPr>
        <w:t xml:space="preserve">[7] Yuelin Jiang (2024). Predicting Loan Default: A Comparative Analysis of Multiple Machine Learning Models. Highlights in Science, Engineering and Technology, 85, 169-175. https://doi.org/10.54097/10dk2m95</w:t>
      </w:r>
    </w:p>
    <w:p>
      <w:pPr>
        <w:spacing w:after="115" w:line="275"/>
        <w:rPr>
          <w:sz w:val="18"/>
          <w:szCs w:val="18"/>
        </w:rPr>
      </w:pPr>
      <w:r>
        <w:rPr>
          <w:color w:val="171717"/>
          <w:sz w:val="18"/>
          <w:szCs w:val="18"/>
        </w:rPr>
        <w:t xml:space="preserve">[8] Sin Yin Teh, Zhi Zheng Kang, Samuel Yong Guang Tan, Wei Chien Ng (2025). Loan Default Prediction Using Machine Learning Algorithms. Journal of Informatics and Web Engineering, 4(3), 232. https://doi.org/10.33093/jiwe.2025.4.3.14</w:t>
      </w:r>
    </w:p>
    <w:p>
      <w:pPr>
        <w:spacing w:after="115" w:line="275"/>
        <w:rPr>
          <w:sz w:val="18"/>
          <w:szCs w:val="18"/>
        </w:rPr>
      </w:pPr>
      <w:r>
        <w:rPr>
          <w:color w:val="171717"/>
          <w:sz w:val="18"/>
          <w:szCs w:val="18"/>
        </w:rPr>
        <w:t xml:space="preserve">[9] Xinyue Wu (2025). Vehicle Loan Default Prediction Based on Machine Learning. Theoretical and Natural Science, 120(1), 209-220. https://doi.org/10.54254/2753-8818/2025.ad26291</w:t>
      </w:r>
    </w:p>
    <w:p>
      <w:pPr>
        <w:spacing w:after="115" w:line="275"/>
        <w:rPr>
          <w:sz w:val="18"/>
          <w:szCs w:val="18"/>
        </w:rPr>
      </w:pPr>
      <w:r>
        <w:rPr>
          <w:color w:val="171717"/>
          <w:sz w:val="18"/>
          <w:szCs w:val="18"/>
        </w:rPr>
        <w:t xml:space="preserve">[10] Jianing Fang, Zenan Ji (2024). Application of Machine Learning in Loan Default Prediction. Mathematical Modeling and Algorithm Application, 2(2), 33-35. https://doi.org/10.54097/75k4fe13</w:t>
      </w:r>
    </w:p>
    <w:p>
      <w:pPr>
        <w:spacing w:before="400"/>
      </w:pPr>
      <w:r>
        <w:t xml:space="preserve">Signature of the Guide: ____________________      Course Instructor: ____________________</w:t>
      </w:r>
    </w:p>
    <w:sectPr>
      <w:footerReference w:type="default" r:id="rId8"/>
      <w:type w:val="nextPage"/>
      <w:pgSz w:w="12240" w:h="15840" w:orient="portrait"/>
      <w:pgMar w:top="1050" w:right="1080" w:bottom="9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345A7D"/>
        <w:sz w:val="16"/>
        <w:szCs w:val="16"/>
      </w:rPr>
      <w:t xml:space="preserve">Machine Learning Project Report   |   </w:t>
    </w:r>
    <w:r>
      <w:rPr>
        <w:color w:val="345A7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345A7D"/>
        <w:sz w:val="16"/>
        <w:szCs w:val="16"/>
      </w:rPr>
      <w:t xml:space="preserve">Machine Learning Project Report   |   </w:t>
    </w:r>
    <w:r>
      <w:rPr>
        <w:color w:val="345A7D"/>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345A7D"/>
        <w:sz w:val="16"/>
        <w:szCs w:val="16"/>
      </w:rPr>
      <w:t xml:space="preserve">Machine Learning Project Report   |   </w:t>
    </w:r>
    <w:r>
      <w:rPr>
        <w:color w:val="345A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7171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70" w:after="120"/>
      <w:outlineLvl w:val="0"/>
    </w:pPr>
    <w:rPr>
      <w:rFonts w:ascii="Times New Roman" w:cs="Times New Roman" w:eastAsia="Times New Roman" w:hAnsi="Times New Roman"/>
      <w:b/>
      <w:bCs/>
      <w:color w:val="345A7D"/>
      <w:sz w:val="27"/>
      <w:szCs w:val="27"/>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345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4cebce7b1f91b10ba51f9f0f769072bb0a93aebc.png"/><Relationship Id="rId10" Type="http://schemas.openxmlformats.org/officeDocument/2006/relationships/image" Target="media/f5dc08c971ef6a49a6ce2883307612591c938b6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Prediction Using Random Forest and Gradient Boosting Models</dc:title>
  <dc:creator>Project Report Draft</dc:creator>
  <cp:lastModifiedBy>Un-named</cp:lastModifiedBy>
  <cp:revision>1</cp:revision>
  <dcterms:created xsi:type="dcterms:W3CDTF">2026-10-05T03:51:13.128Z</dcterms:created>
  <dcterms:modified xsi:type="dcterms:W3CDTF">2026-10-05T03:51:13.128Z</dcterms:modified>
</cp:coreProperties>
</file>

<file path=docProps/custom.xml><?xml version="1.0" encoding="utf-8"?>
<Properties xmlns="http://schemas.openxmlformats.org/officeDocument/2006/custom-properties" xmlns:vt="http://schemas.openxmlformats.org/officeDocument/2006/docPropsVTypes"/>
</file>