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SDMSMK SLC</w:t>
      </w:r>
    </w:p>
    <w:p>
      <w:pPr>
        <w:pStyle w:val="ReportTitle"/>
        <w:jc w:val="center"/>
      </w:pPr>
      <w:r>
        <w:t>ONE-YEAR ACTIVITY REPORT</w:t>
      </w:r>
    </w:p>
    <w:p>
      <w:pPr>
        <w:pStyle w:val="Subtitle"/>
        <w:jc w:val="center"/>
      </w:pPr>
      <w:r>
        <w:t>Activities organised through Swecha • 2025</w:t>
      </w:r>
    </w:p>
    <w:p/>
    <w:tbl>
      <w:tblPr>
        <w:tblW w:type="auto" w:w="0"/>
        <w:jc w:val="center"/>
        <w:tblLook w:firstColumn="1" w:firstRow="1" w:lastColumn="0" w:lastRow="0" w:noHBand="0" w:noVBand="1" w:val="04A0"/>
      </w:tblPr>
      <w:tblGrid>
        <w:gridCol w:w="10080"/>
      </w:tblGrid>
      <w:tr>
        <w:tc>
          <w:tcPr>
            <w:tcW w:type="dxa" w:w="10080"/>
            <w:shd w:fill="EAF2F8"/>
            <w:vAlign w:val="center"/>
          </w:tcPr>
          <w:p>
            <w:pPr>
              <w:spacing w:after="40"/>
              <w:jc w:val="center"/>
            </w:pPr>
            <w:r/>
            <w:r>
              <w:rPr>
                <w:rFonts w:ascii="Aptos" w:hAnsi="Aptos"/>
                <w:b/>
                <w:sz w:val="24"/>
              </w:rPr>
              <w:t>LEARNING • OPEN SOURCE • INNOVATION • COMMUNITY</w:t>
            </w:r>
          </w:p>
        </w:tc>
      </w:tr>
    </w:tbl>
    <w:p/>
    <w:p>
      <w:pPr>
        <w:jc w:val="center"/>
      </w:pPr>
      <w:r>
        <w:rPr>
          <w:sz w:val="22"/>
        </w:rPr>
        <w:t>A formal summary of student-oriented learning, innovation, hackathon preparation and open-source community activities.</w:t>
      </w:r>
    </w:p>
    <w:p/>
    <w:p>
      <w:pPr>
        <w:pStyle w:val="SectionHeading"/>
      </w:pPr>
      <w:r>
        <w:t>About the SLC</w:t>
      </w:r>
    </w:p>
    <w:p>
      <w:pPr>
        <w:spacing w:line="276" w:lineRule="auto"/>
      </w:pPr>
      <w:r>
        <w:t>The Siddhartha Mahila Kalasala SLC was established as a learning space where students can build confidence through participation in free and open-source communities. The activity report records workshops, orientations, hackathon preparation, mentoring, technical learning and outreach activities carried out with the Swecha ecosystem.</w:t>
      </w:r>
    </w:p>
    <w:p>
      <w:pPr>
        <w:pStyle w:val="EventHeading"/>
      </w:pPr>
      <w:r>
        <w:t>Vision</w:t>
      </w:r>
    </w:p>
    <w:p>
      <w:r>
        <w:t>To create a learning space on campus where every student becomes confident in contributing to a free and open-source community.</w:t>
      </w:r>
    </w:p>
    <w:p>
      <w:pPr>
        <w:pStyle w:val="EventHeading"/>
      </w:pPr>
      <w:r>
        <w:t>Mission</w:t>
      </w:r>
    </w:p>
    <w:p>
      <w:r>
        <w:t>To conduct workshops, hackathons, mentorship programs, internships and real-time projects to help students learn by doing as a part of Siddhartha Mahila Kalasala SLC.</w:t>
      </w:r>
    </w:p>
    <w:p>
      <w:r>
        <w:br w:type="page"/>
      </w:r>
    </w:p>
    <w:p>
      <w:pPr>
        <w:pStyle w:val="SectionHeading"/>
      </w:pPr>
      <w:r>
        <w:t>KEY CAMPUS ACTIVITIES</w:t>
      </w:r>
    </w:p>
    <w:p>
      <w:pPr>
        <w:pStyle w:val="EventHeading"/>
      </w:pPr>
      <w:r>
        <w:t>Orientation about Swecha</w:t>
      </w:r>
    </w:p>
    <w:tbl>
      <w:tblPr>
        <w:tblW w:type="auto" w:w="0"/>
        <w:jc w:val="center"/>
        <w:tblLayout w:type="autofit"/>
        <w:tblLook w:firstColumn="1" w:firstRow="1" w:lastColumn="0" w:lastRow="0" w:noHBand="0" w:noVBand="1" w:val="04A0"/>
      </w:tblPr>
      <w:tblGrid>
        <w:gridCol w:w="5040"/>
        <w:gridCol w:w="5040"/>
      </w:tblGrid>
      <w:tr>
        <w:tc>
          <w:tcPr>
            <w:tcW w:type="dxa" w:w="5040"/>
            <w:vAlign w:val="center"/>
            <w:shd w:fill="EAF2F8"/>
          </w:tcPr>
          <w:p>
            <w:pPr>
              <w:spacing w:after="40"/>
            </w:pPr>
            <w:r/>
            <w:r>
              <w:rPr>
                <w:rFonts w:ascii="Aptos" w:hAnsi="Aptos"/>
                <w:b/>
                <w:sz w:val="18"/>
              </w:rPr>
              <w:t>Date</w:t>
            </w:r>
          </w:p>
        </w:tc>
        <w:tc>
          <w:tcPr>
            <w:tcW w:type="dxa" w:w="5040"/>
            <w:vAlign w:val="center"/>
          </w:tcPr>
          <w:p>
            <w:pPr>
              <w:spacing w:after="40"/>
            </w:pPr>
            <w:r/>
            <w:r>
              <w:rPr>
                <w:rFonts w:ascii="Aptos" w:hAnsi="Aptos"/>
                <w:b w:val="0"/>
                <w:sz w:val="18"/>
              </w:rPr>
              <w:t>05 August 2025</w:t>
            </w:r>
          </w:p>
        </w:tc>
      </w:tr>
      <w:tr>
        <w:tc>
          <w:tcPr>
            <w:tcW w:type="dxa" w:w="5040"/>
            <w:vAlign w:val="center"/>
            <w:shd w:fill="EAF2F8"/>
          </w:tcPr>
          <w:p>
            <w:pPr>
              <w:spacing w:after="40"/>
            </w:pPr>
            <w:r/>
            <w:r>
              <w:rPr>
                <w:rFonts w:ascii="Aptos" w:hAnsi="Aptos"/>
                <w:b/>
                <w:sz w:val="18"/>
              </w:rPr>
              <w:t>Participation</w:t>
            </w:r>
          </w:p>
        </w:tc>
        <w:tc>
          <w:tcPr>
            <w:tcW w:type="dxa" w:w="5040"/>
            <w:vAlign w:val="center"/>
          </w:tcPr>
          <w:p>
            <w:pPr>
              <w:spacing w:after="40"/>
            </w:pPr>
            <w:r/>
            <w:r>
              <w:rPr>
                <w:rFonts w:ascii="Aptos" w:hAnsi="Aptos"/>
                <w:b w:val="0"/>
                <w:sz w:val="18"/>
              </w:rPr>
              <w:t>150–200 students from II B.Sc Computer Science (Sections A &amp; B), II B.Sc Artificial Intelligence, and BCA</w:t>
            </w:r>
          </w:p>
        </w:tc>
      </w:tr>
    </w:tbl>
    <w:p/>
    <w:p>
      <w:pPr>
        <w:spacing w:line="264" w:lineRule="auto"/>
      </w:pPr>
      <w:r>
        <w:rPr>
          <w:b/>
        </w:rPr>
        <w:t xml:space="preserve">Description: </w:t>
      </w:r>
      <w:r>
        <w:t>An orientation session introducing Swecha AP, its free and open-source philosophy, and opportunities for students to learn by contributing to real-time projects.</w:t>
      </w:r>
    </w:p>
    <w:p>
      <w:pPr>
        <w:spacing w:line="264" w:lineRule="auto"/>
      </w:pPr>
      <w:r>
        <w:rPr>
          <w:b/>
        </w:rPr>
        <w:t xml:space="preserve">Outcome: </w:t>
      </w:r>
      <w:r>
        <w:t>150+ students were introduced to Swecha and the importance of free software in building solutions for societal problems. A SMK SLC community and signup link were also created for interested students to participate and lead the SLC team.</w:t>
      </w:r>
    </w:p>
    <w:p/>
    <w:p>
      <w:pPr>
        <w:pStyle w:val="EventHeading"/>
      </w:pPr>
      <w:r>
        <w:t>Design Thinking &amp; Innovation</w:t>
      </w:r>
    </w:p>
    <w:tbl>
      <w:tblPr>
        <w:tblW w:type="auto" w:w="0"/>
        <w:jc w:val="center"/>
        <w:tblLayout w:type="autofit"/>
        <w:tblLook w:firstColumn="1" w:firstRow="1" w:lastColumn="0" w:lastRow="0" w:noHBand="0" w:noVBand="1" w:val="04A0"/>
      </w:tblPr>
      <w:tblGrid>
        <w:gridCol w:w="5040"/>
        <w:gridCol w:w="5040"/>
      </w:tblGrid>
      <w:tr>
        <w:tc>
          <w:tcPr>
            <w:tcW w:type="dxa" w:w="5040"/>
            <w:vAlign w:val="center"/>
            <w:shd w:fill="EAF2F8"/>
          </w:tcPr>
          <w:p>
            <w:pPr>
              <w:spacing w:after="40"/>
            </w:pPr>
            <w:r/>
            <w:r>
              <w:rPr>
                <w:rFonts w:ascii="Aptos" w:hAnsi="Aptos"/>
                <w:b/>
                <w:sz w:val="18"/>
              </w:rPr>
              <w:t>Date</w:t>
            </w:r>
          </w:p>
        </w:tc>
        <w:tc>
          <w:tcPr>
            <w:tcW w:type="dxa" w:w="5040"/>
            <w:vAlign w:val="center"/>
          </w:tcPr>
          <w:p>
            <w:pPr>
              <w:spacing w:after="40"/>
            </w:pPr>
            <w:r/>
            <w:r>
              <w:rPr>
                <w:rFonts w:ascii="Aptos" w:hAnsi="Aptos"/>
                <w:b w:val="0"/>
                <w:sz w:val="18"/>
              </w:rPr>
              <w:t>20–23 August 2025</w:t>
            </w:r>
          </w:p>
        </w:tc>
      </w:tr>
      <w:tr>
        <w:tc>
          <w:tcPr>
            <w:tcW w:type="dxa" w:w="5040"/>
            <w:vAlign w:val="center"/>
            <w:shd w:fill="EAF2F8"/>
          </w:tcPr>
          <w:p>
            <w:pPr>
              <w:spacing w:after="40"/>
            </w:pPr>
            <w:r/>
            <w:r>
              <w:rPr>
                <w:rFonts w:ascii="Aptos" w:hAnsi="Aptos"/>
                <w:b/>
                <w:sz w:val="18"/>
              </w:rPr>
              <w:t>Participation</w:t>
            </w:r>
          </w:p>
        </w:tc>
        <w:tc>
          <w:tcPr>
            <w:tcW w:type="dxa" w:w="5040"/>
            <w:vAlign w:val="center"/>
          </w:tcPr>
          <w:p>
            <w:pPr>
              <w:spacing w:after="40"/>
            </w:pPr>
            <w:r/>
            <w:r>
              <w:rPr>
                <w:rFonts w:ascii="Aptos" w:hAnsi="Aptos"/>
                <w:b w:val="0"/>
                <w:sz w:val="18"/>
              </w:rPr>
              <w:t>109 students from II B.Sc Computer Science (Sections A &amp; B) and II B.Sc Artificial Intelligence</w:t>
            </w:r>
          </w:p>
        </w:tc>
      </w:tr>
    </w:tbl>
    <w:p/>
    <w:p>
      <w:pPr>
        <w:spacing w:line="264" w:lineRule="auto"/>
      </w:pPr>
      <w:r>
        <w:rPr>
          <w:b/>
        </w:rPr>
        <w:t xml:space="preserve">Description: </w:t>
      </w:r>
      <w:r>
        <w:t>A four-day workshop where students worked in teams to brainstorm ideas and develop prototype designs using design-thinking practices. The fourth day included an Ideathon covering themes such as Health &amp; Wellbeing, Women &amp; Empowerment, Agriculture, Rural Development, Education, and Environment &amp; Sustainability.</w:t>
      </w:r>
    </w:p>
    <w:p>
      <w:pPr>
        <w:spacing w:line="264" w:lineRule="auto"/>
      </w:pPr>
      <w:r>
        <w:rPr>
          <w:b/>
        </w:rPr>
        <w:t xml:space="preserve">Outcome: </w:t>
      </w:r>
      <w:r>
        <w:t>109+ participants gained knowledge of design-thinking phases and were introduced to tools and practices including Agile, Git, and Excalidraw for wireframing.</w:t>
      </w:r>
    </w:p>
    <w:p/>
    <w:p>
      <w:pPr>
        <w:pStyle w:val="EventHeading"/>
      </w:pPr>
      <w:r>
        <w:t>Orientation about Swecha</w:t>
      </w:r>
    </w:p>
    <w:p>
      <w:r>
        <w:t>The orientation served as the introductory engagement for students with Swecha AP. The session highlighted free and open-source principles and encouraged students to participate in real-time projects. The report records participation of 150–200 students and notes that 150+ students were introduced to the importance of free software for societal problem-solving.</w:t>
      </w:r>
    </w:p>
    <w:p>
      <w:r>
        <w:br w:type="page"/>
      </w:r>
    </w:p>
    <w:p>
      <w:pPr>
        <w:pStyle w:val="SectionHeading"/>
      </w:pPr>
      <w:r>
        <w:t>INNOVATION &amp; HACKATHON ACTIVITIES</w:t>
      </w:r>
    </w:p>
    <w:p>
      <w:pPr>
        <w:pStyle w:val="EventHeading"/>
      </w:pPr>
      <w:r>
        <w:t>SIH Work Session</w:t>
      </w:r>
    </w:p>
    <w:tbl>
      <w:tblPr>
        <w:tblW w:type="auto" w:w="0"/>
        <w:jc w:val="center"/>
        <w:tblLook w:firstColumn="1" w:firstRow="1" w:lastColumn="0" w:lastRow="0" w:noHBand="0" w:noVBand="1" w:val="04A0"/>
      </w:tblPr>
      <w:tblGrid>
        <w:gridCol w:w="5040"/>
        <w:gridCol w:w="5040"/>
      </w:tblGrid>
      <w:tr>
        <w:tc>
          <w:tcPr>
            <w:tcW w:type="dxa" w:w="5040"/>
            <w:vAlign w:val="center"/>
            <w:shd w:fill="EAF2F8"/>
          </w:tcPr>
          <w:p>
            <w:pPr>
              <w:spacing w:after="40"/>
            </w:pPr>
            <w:r/>
            <w:r>
              <w:rPr>
                <w:rFonts w:ascii="Aptos" w:hAnsi="Aptos"/>
                <w:b/>
                <w:sz w:val="18"/>
              </w:rPr>
              <w:t>Date</w:t>
            </w:r>
          </w:p>
        </w:tc>
        <w:tc>
          <w:tcPr>
            <w:tcW w:type="dxa" w:w="5040"/>
            <w:vAlign w:val="center"/>
          </w:tcPr>
          <w:p>
            <w:pPr>
              <w:spacing w:after="40"/>
            </w:pPr>
            <w:r/>
            <w:r>
              <w:rPr>
                <w:rFonts w:ascii="Aptos" w:hAnsi="Aptos"/>
                <w:b w:val="0"/>
                <w:sz w:val="18"/>
              </w:rPr>
              <w:t>17 September 2025</w:t>
            </w:r>
          </w:p>
        </w:tc>
      </w:tr>
      <w:tr>
        <w:tc>
          <w:tcPr>
            <w:tcW w:type="dxa" w:w="5040"/>
            <w:vAlign w:val="center"/>
            <w:shd w:fill="EAF2F8"/>
          </w:tcPr>
          <w:p>
            <w:pPr>
              <w:spacing w:after="40"/>
            </w:pPr>
            <w:r/>
            <w:r>
              <w:rPr>
                <w:rFonts w:ascii="Aptos" w:hAnsi="Aptos"/>
                <w:b/>
                <w:sz w:val="18"/>
              </w:rPr>
              <w:t>Participation</w:t>
            </w:r>
          </w:p>
        </w:tc>
        <w:tc>
          <w:tcPr>
            <w:tcW w:type="dxa" w:w="5040"/>
            <w:vAlign w:val="center"/>
          </w:tcPr>
          <w:p>
            <w:pPr>
              <w:spacing w:after="40"/>
            </w:pPr>
            <w:r/>
            <w:r>
              <w:rPr>
                <w:rFonts w:ascii="Aptos" w:hAnsi="Aptos"/>
                <w:b w:val="0"/>
                <w:sz w:val="18"/>
              </w:rPr>
              <w:t>50 students from II B.Sc Computer Science (Sections A &amp; B) and II B.Sc Artificial Intelligence</w:t>
            </w:r>
          </w:p>
        </w:tc>
      </w:tr>
    </w:tbl>
    <w:p/>
    <w:p>
      <w:pPr>
        <w:spacing w:line="264" w:lineRule="auto"/>
      </w:pPr>
      <w:r>
        <w:rPr>
          <w:b/>
        </w:rPr>
        <w:t xml:space="preserve">Description: </w:t>
      </w:r>
      <w:r>
        <w:t>A preparatory work session for the Smart India Hackathon in which students formed teams and selected real-time problem statements to ideate solutions.</w:t>
      </w:r>
    </w:p>
    <w:p>
      <w:pPr>
        <w:spacing w:line="264" w:lineRule="auto"/>
      </w:pPr>
      <w:r>
        <w:rPr>
          <w:b/>
        </w:rPr>
        <w:t xml:space="preserve">Outcome: </w:t>
      </w:r>
      <w:r>
        <w:t>7+ teams participated in the process and selected real-time problem statements to develop presentations according to government guidelines.</w:t>
      </w:r>
    </w:p>
    <w:p/>
    <w:p>
      <w:pPr>
        <w:pStyle w:val="EventHeading"/>
      </w:pPr>
      <w:r>
        <w:t>Internal Hackathon (SIH)</w:t>
      </w:r>
    </w:p>
    <w:tbl>
      <w:tblPr>
        <w:tblW w:type="auto" w:w="0"/>
        <w:jc w:val="center"/>
        <w:tblLook w:firstColumn="1" w:firstRow="1" w:lastColumn="0" w:lastRow="0" w:noHBand="0" w:noVBand="1" w:val="04A0"/>
      </w:tblPr>
      <w:tblGrid>
        <w:gridCol w:w="5040"/>
        <w:gridCol w:w="5040"/>
      </w:tblGrid>
      <w:tr>
        <w:tc>
          <w:tcPr>
            <w:tcW w:type="dxa" w:w="5040"/>
            <w:vAlign w:val="center"/>
            <w:shd w:fill="EAF2F8"/>
          </w:tcPr>
          <w:p>
            <w:pPr>
              <w:spacing w:after="40"/>
            </w:pPr>
            <w:r/>
            <w:r>
              <w:rPr>
                <w:rFonts w:ascii="Aptos" w:hAnsi="Aptos"/>
                <w:b/>
                <w:sz w:val="18"/>
              </w:rPr>
              <w:t>Date</w:t>
            </w:r>
          </w:p>
        </w:tc>
        <w:tc>
          <w:tcPr>
            <w:tcW w:type="dxa" w:w="5040"/>
            <w:vAlign w:val="center"/>
          </w:tcPr>
          <w:p>
            <w:pPr>
              <w:spacing w:after="40"/>
            </w:pPr>
            <w:r/>
            <w:r>
              <w:rPr>
                <w:rFonts w:ascii="Aptos" w:hAnsi="Aptos"/>
                <w:b w:val="0"/>
                <w:sz w:val="18"/>
              </w:rPr>
              <w:t>20 September 2025</w:t>
            </w:r>
          </w:p>
        </w:tc>
      </w:tr>
      <w:tr>
        <w:tc>
          <w:tcPr>
            <w:tcW w:type="dxa" w:w="5040"/>
            <w:vAlign w:val="center"/>
            <w:shd w:fill="EAF2F8"/>
          </w:tcPr>
          <w:p>
            <w:pPr>
              <w:spacing w:after="40"/>
            </w:pPr>
            <w:r/>
            <w:r>
              <w:rPr>
                <w:rFonts w:ascii="Aptos" w:hAnsi="Aptos"/>
                <w:b/>
                <w:sz w:val="18"/>
              </w:rPr>
              <w:t>Participation</w:t>
            </w:r>
          </w:p>
        </w:tc>
        <w:tc>
          <w:tcPr>
            <w:tcW w:type="dxa" w:w="5040"/>
            <w:vAlign w:val="center"/>
          </w:tcPr>
          <w:p>
            <w:pPr>
              <w:spacing w:after="40"/>
            </w:pPr>
            <w:r/>
            <w:r>
              <w:rPr>
                <w:rFonts w:ascii="Aptos" w:hAnsi="Aptos"/>
                <w:b w:val="0"/>
                <w:sz w:val="18"/>
              </w:rPr>
              <w:t>60 students organised as 10 teams of 6</w:t>
            </w:r>
          </w:p>
        </w:tc>
      </w:tr>
    </w:tbl>
    <w:p/>
    <w:p>
      <w:pPr>
        <w:spacing w:line="264" w:lineRule="auto"/>
      </w:pPr>
      <w:r>
        <w:rPr>
          <w:b/>
        </w:rPr>
        <w:t xml:space="preserve">Description: </w:t>
      </w:r>
      <w:r>
        <w:t>An internal hackathon conducted before a jury, where participating teams presented their ideas for selected real-time problem statements.</w:t>
      </w:r>
    </w:p>
    <w:p>
      <w:pPr>
        <w:spacing w:line="264" w:lineRule="auto"/>
      </w:pPr>
      <w:r>
        <w:rPr>
          <w:b/>
        </w:rPr>
        <w:t xml:space="preserve">Outcome: </w:t>
      </w:r>
      <w:r>
        <w:t>6–7 teams conducted thorough research and developed their ideas into presentations.</w:t>
      </w:r>
    </w:p>
    <w:p/>
    <w:p>
      <w:pPr>
        <w:pStyle w:val="EventHeading"/>
      </w:pPr>
      <w:r>
        <w:t>Learning &amp; Technical Exposure</w:t>
      </w:r>
    </w:p>
    <w:p>
      <w:r>
        <w:t>The wider activity report also records technical and community-oriented exposure through AI Boot Camps, Python programming sessions, workshops at the Swecha Knowledge Center, and participation in AI Internship Projects and Smart India Hackathons. These activities complemented the campus events by giving students opportunities to learn through practical engagement.</w:t>
      </w:r>
    </w:p>
    <w:p>
      <w:r>
        <w:br w:type="page"/>
      </w:r>
    </w:p>
    <w:p>
      <w:pPr>
        <w:pStyle w:val="SectionHeading"/>
      </w:pPr>
      <w:r>
        <w:t>COMMUNITY ENGAGEMENT &amp; YEAR HIGHLIGHTS</w:t>
      </w:r>
    </w:p>
    <w:p>
      <w:pPr>
        <w:pStyle w:val="EventHeading"/>
      </w:pPr>
      <w:r>
        <w:t>At the Swecha Knowledge Center</w:t>
      </w:r>
    </w:p>
    <w:p>
      <w:pPr>
        <w:ind w:left="288"/>
      </w:pPr>
      <w:r>
        <w:t>• Participation in the AI Boot Camp and activities at the Swecha Knowledge Center.</w:t>
      </w:r>
    </w:p>
    <w:p>
      <w:pPr>
        <w:ind w:left="288"/>
      </w:pPr>
      <w:r>
        <w:t>• Organising events and sessions at the Swecha Knowledge Center, including Python programming sessions.</w:t>
      </w:r>
    </w:p>
    <w:p>
      <w:pPr>
        <w:ind w:left="288"/>
      </w:pPr>
      <w:r>
        <w:t>• Serving as speakers during the summer camp for school children.</w:t>
      </w:r>
    </w:p>
    <w:p>
      <w:pPr>
        <w:ind w:left="288"/>
      </w:pPr>
      <w:r>
        <w:t>• Participation in AI Boot Camp activities held at KLU.</w:t>
      </w:r>
    </w:p>
    <w:p>
      <w:pPr>
        <w:ind w:left="288"/>
      </w:pPr>
      <w:r>
        <w:t>• Movie screening on Independence Day.</w:t>
      </w:r>
    </w:p>
    <w:p>
      <w:pPr>
        <w:pStyle w:val="EventHeading"/>
      </w:pPr>
      <w:r>
        <w:t>Representation, Hackathons &amp; Initiatives</w:t>
      </w:r>
    </w:p>
    <w:p>
      <w:pPr>
        <w:ind w:left="288"/>
      </w:pPr>
      <w:r>
        <w:t>• Representing Siddhartha in other institutions and organisations, including judging at Balostav and mentoring at Nalanda Tech Sprint.</w:t>
      </w:r>
    </w:p>
    <w:p>
      <w:pPr>
        <w:ind w:left="288"/>
      </w:pPr>
      <w:r>
        <w:t>• Participation in Smart India Hackathons and AI Internship Projects.</w:t>
      </w:r>
    </w:p>
    <w:p>
      <w:pPr>
        <w:ind w:left="288"/>
      </w:pPr>
      <w:r>
        <w:t>• Participation in Outreachy/SIH initiatives.</w:t>
      </w:r>
    </w:p>
    <w:p>
      <w:pPr>
        <w:pStyle w:val="EventHeading"/>
      </w:pPr>
      <w:r>
        <w:t>Overall Outcome</w:t>
      </w:r>
    </w:p>
    <w:p>
      <w:r>
        <w:t>Across the recorded activities, students were exposed to free and open-source principles, design thinking, collaborative problem solving, Git and Agile practices, wireframing, hackathon preparation, real-time problem statements and presentation-based evaluation. The activities also created opportunities for students to participate in a broader Swecha learning community and represent Siddhartha in external initiatives.</w:t>
      </w:r>
    </w:p>
    <w:p>
      <w:pPr>
        <w:pStyle w:val="EventHeading"/>
      </w:pPr>
      <w:r>
        <w:t>Conclusion</w:t>
      </w:r>
    </w:p>
    <w:p>
      <w:r>
        <w:t>The one-year programme reflects a practical learning approach centred on participation, experimentation and community contribution. The recorded orientations, workshops, hackathon activities, technical sessions and outreach engagements provided students with multiple avenues to learn by doing and to engage with open-source and innovation-oriented initiatives.</w:t>
      </w:r>
    </w:p>
    <w:p>
      <w:pPr>
        <w:spacing w:before="240"/>
      </w:pPr>
      <w:r>
        <w:rPr>
          <w:b/>
        </w:rPr>
        <w:t xml:space="preserve">Source: </w:t>
      </w:r>
      <w:r>
        <w:t>SDMSMK SLC Activity Report (uploaded document), covering the recorded one-year activities organised through Swecha.</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SDMSMK SLC • One-Year Activity Report • Swecha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rPr>
      <w:rFonts w:ascii="Aptos Display" w:hAnsi="Aptos Display"/>
      <w:b/>
      <w:sz w:val="50"/>
    </w:rPr>
  </w:style>
  <w:style w:type="paragraph" w:customStyle="1" w:styleId="SectionHeading">
    <w:name w:val="SectionHeading"/>
    <w:rPr>
      <w:rFonts w:ascii="Aptos Display" w:hAnsi="Aptos Display"/>
      <w:b/>
      <w:sz w:val="34"/>
    </w:rPr>
  </w:style>
  <w:style w:type="paragraph" w:customStyle="1" w:styleId="EventHeading">
    <w:name w:val="EventHeading"/>
    <w:rPr>
      <w:rFonts w:ascii="Aptos Display" w:hAnsi="Aptos Display"/>
      <w:b/>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