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INDIAN AQUACULTURE GHG &amp; CARBON MRV TOOL</w:t>
      </w:r>
    </w:p>
    <w:p>
      <w:pPr>
        <w:jc w:val="center"/>
      </w:pPr>
      <w:r>
        <w:rPr>
          <w:b/>
          <w:color w:val="2F75B5"/>
          <w:sz w:val="34"/>
        </w:rPr>
        <w:t>v3.4 — IMC FIELD-DATA METHODOLOGY</w:t>
      </w:r>
    </w:p>
    <w:p>
      <w:pPr>
        <w:jc w:val="center"/>
      </w:pPr>
      <w:r>
        <w:rPr>
          <w:b/>
          <w:sz w:val="30"/>
        </w:rPr>
        <w:t>Official Data Collection &amp; Calculation Methodology Manual</w:t>
      </w:r>
    </w:p>
    <w:p>
      <w:pPr>
        <w:jc w:val="center"/>
      </w:pPr>
      <w:r>
        <w:rPr>
          <w:color w:val="666666"/>
          <w:sz w:val="21"/>
        </w:rPr>
        <w:t>For Farmers • Field Enumerators • MRV Practitioners • Third-Party Carbon Auditors</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pPr>
              <w:spacing w:after="0"/>
            </w:pPr>
            <w:r/>
            <w:r>
              <w:rPr>
                <w:rFonts w:ascii="Aptos" w:hAnsi="Aptos"/>
                <w:b/>
                <w:color w:val="FFFFFF"/>
                <w:sz w:val="17"/>
              </w:rPr>
              <w:t>Document Control</w:t>
            </w:r>
          </w:p>
        </w:tc>
        <w:tc>
          <w:tcPr>
            <w:tcW w:type="dxa" w:w="7776"/>
            <w:vAlign w:val="center"/>
            <w:shd w:fill="17365D"/>
          </w:tcPr>
          <w:p>
            <w:pPr>
              <w:spacing w:after="0"/>
            </w:pPr>
            <w:r/>
            <w:r>
              <w:rPr>
                <w:rFonts w:ascii="Aptos" w:hAnsi="Aptos"/>
                <w:b/>
                <w:color w:val="FFFFFF"/>
                <w:sz w:val="17"/>
              </w:rPr>
              <w:t>Specification</w:t>
            </w:r>
          </w:p>
        </w:tc>
      </w:tr>
      <w:tr>
        <w:tc>
          <w:tcPr>
            <w:tcW w:type="dxa" w:w="2448"/>
            <w:vAlign w:val="center"/>
          </w:tcPr>
          <w:p>
            <w:pPr>
              <w:spacing w:after="0"/>
            </w:pPr>
            <w:r>
              <w:rPr>
                <w:b/>
              </w:rPr>
            </w:r>
            <w:r>
              <w:rPr>
                <w:rFonts w:ascii="Aptos" w:hAnsi="Aptos"/>
                <w:b w:val="0"/>
                <w:color w:val="222222"/>
                <w:sz w:val="16"/>
              </w:rPr>
              <w:t>Tool</w:t>
            </w:r>
          </w:p>
        </w:tc>
        <w:tc>
          <w:tcPr>
            <w:tcW w:type="dxa" w:w="7776"/>
            <w:vAlign w:val="center"/>
          </w:tcPr>
          <w:p>
            <w:pPr>
              <w:spacing w:after="0"/>
            </w:pPr>
            <w:r/>
            <w:r>
              <w:rPr>
                <w:rFonts w:ascii="Aptos" w:hAnsi="Aptos"/>
                <w:b w:val="0"/>
                <w:color w:val="222222"/>
                <w:sz w:val="16"/>
              </w:rPr>
              <w:t>Indian Aquaculture GHG &amp; Carbon MRV Tool v3.4</w:t>
            </w:r>
          </w:p>
        </w:tc>
      </w:tr>
      <w:tr>
        <w:tc>
          <w:tcPr>
            <w:tcW w:type="dxa" w:w="2448"/>
            <w:vAlign w:val="center"/>
          </w:tcPr>
          <w:p>
            <w:pPr>
              <w:spacing w:after="0"/>
            </w:pPr>
            <w:r>
              <w:rPr>
                <w:b/>
              </w:rPr>
            </w:r>
            <w:r>
              <w:rPr>
                <w:rFonts w:ascii="Aptos" w:hAnsi="Aptos"/>
                <w:b w:val="0"/>
                <w:color w:val="222222"/>
                <w:sz w:val="16"/>
              </w:rPr>
              <w:t>Production system</w:t>
            </w:r>
          </w:p>
        </w:tc>
        <w:tc>
          <w:tcPr>
            <w:tcW w:type="dxa" w:w="7776"/>
            <w:vAlign w:val="center"/>
          </w:tcPr>
          <w:p>
            <w:pPr>
              <w:spacing w:after="0"/>
            </w:pPr>
            <w:r/>
            <w:r>
              <w:rPr>
                <w:rFonts w:ascii="Aptos" w:hAnsi="Aptos"/>
                <w:b w:val="0"/>
                <w:color w:val="222222"/>
                <w:sz w:val="16"/>
              </w:rPr>
              <w:t>Semi-intensive Indian Major Carp (IMC) polyculture</w:t>
            </w:r>
          </w:p>
        </w:tc>
      </w:tr>
      <w:tr>
        <w:tc>
          <w:tcPr>
            <w:tcW w:type="dxa" w:w="2448"/>
            <w:vAlign w:val="center"/>
          </w:tcPr>
          <w:p>
            <w:pPr>
              <w:spacing w:after="0"/>
            </w:pPr>
            <w:r>
              <w:rPr>
                <w:b/>
              </w:rPr>
            </w:r>
            <w:r>
              <w:rPr>
                <w:rFonts w:ascii="Aptos" w:hAnsi="Aptos"/>
                <w:b w:val="0"/>
                <w:color w:val="222222"/>
                <w:sz w:val="16"/>
              </w:rPr>
              <w:t>Pond system</w:t>
            </w:r>
          </w:p>
        </w:tc>
        <w:tc>
          <w:tcPr>
            <w:tcW w:type="dxa" w:w="7776"/>
            <w:vAlign w:val="center"/>
          </w:tcPr>
          <w:p>
            <w:pPr>
              <w:spacing w:after="0"/>
            </w:pPr>
            <w:r/>
            <w:r>
              <w:rPr>
                <w:rFonts w:ascii="Aptos" w:hAnsi="Aptos"/>
                <w:b w:val="0"/>
                <w:color w:val="222222"/>
                <w:sz w:val="16"/>
              </w:rPr>
              <w:t>Earthen pond; no mechanical aeration</w:t>
            </w:r>
          </w:p>
        </w:tc>
      </w:tr>
      <w:tr>
        <w:tc>
          <w:tcPr>
            <w:tcW w:type="dxa" w:w="2448"/>
            <w:vAlign w:val="center"/>
          </w:tcPr>
          <w:p>
            <w:pPr>
              <w:spacing w:after="0"/>
            </w:pPr>
            <w:r>
              <w:rPr>
                <w:b/>
              </w:rPr>
            </w:r>
            <w:r>
              <w:rPr>
                <w:rFonts w:ascii="Aptos" w:hAnsi="Aptos"/>
                <w:b w:val="0"/>
                <w:color w:val="222222"/>
                <w:sz w:val="16"/>
              </w:rPr>
              <w:t>Feed system</w:t>
            </w:r>
          </w:p>
        </w:tc>
        <w:tc>
          <w:tcPr>
            <w:tcW w:type="dxa" w:w="7776"/>
            <w:vAlign w:val="center"/>
          </w:tcPr>
          <w:p>
            <w:pPr>
              <w:spacing w:after="0"/>
            </w:pPr>
            <w:r/>
            <w:r>
              <w:rPr>
                <w:rFonts w:ascii="Aptos" w:hAnsi="Aptos"/>
                <w:b w:val="0"/>
                <w:color w:val="222222"/>
                <w:sz w:val="16"/>
              </w:rPr>
              <w:t>Plant-based / ingredient-blended feed with actual invoice-derived formulation</w:t>
            </w:r>
          </w:p>
        </w:tc>
      </w:tr>
      <w:tr>
        <w:tc>
          <w:tcPr>
            <w:tcW w:type="dxa" w:w="2448"/>
            <w:vAlign w:val="center"/>
          </w:tcPr>
          <w:p>
            <w:pPr>
              <w:spacing w:after="0"/>
            </w:pPr>
            <w:r>
              <w:rPr>
                <w:b/>
              </w:rPr>
            </w:r>
            <w:r>
              <w:rPr>
                <w:rFonts w:ascii="Aptos" w:hAnsi="Aptos"/>
                <w:b w:val="0"/>
                <w:color w:val="222222"/>
                <w:sz w:val="16"/>
              </w:rPr>
              <w:t>Accounting boundary</w:t>
            </w:r>
          </w:p>
        </w:tc>
        <w:tc>
          <w:tcPr>
            <w:tcW w:type="dxa" w:w="7776"/>
            <w:vAlign w:val="center"/>
          </w:tcPr>
          <w:p>
            <w:pPr>
              <w:spacing w:after="0"/>
            </w:pPr>
            <w:r/>
            <w:r>
              <w:rPr>
                <w:rFonts w:ascii="Aptos" w:hAnsi="Aptos"/>
                <w:b w:val="0"/>
                <w:color w:val="222222"/>
                <w:sz w:val="16"/>
              </w:rPr>
              <w:t>Scope 1, Scope 2 and relevant Scope 3 emissions</w:t>
            </w:r>
          </w:p>
        </w:tc>
      </w:tr>
      <w:tr>
        <w:tc>
          <w:tcPr>
            <w:tcW w:type="dxa" w:w="2448"/>
            <w:vAlign w:val="center"/>
          </w:tcPr>
          <w:p>
            <w:pPr>
              <w:spacing w:after="0"/>
            </w:pPr>
            <w:r>
              <w:rPr>
                <w:b/>
              </w:rPr>
            </w:r>
            <w:r>
              <w:rPr>
                <w:rFonts w:ascii="Aptos" w:hAnsi="Aptos"/>
                <w:b w:val="0"/>
                <w:color w:val="222222"/>
                <w:sz w:val="16"/>
              </w:rPr>
              <w:t>Primary use</w:t>
            </w:r>
          </w:p>
        </w:tc>
        <w:tc>
          <w:tcPr>
            <w:tcW w:type="dxa" w:w="7776"/>
            <w:vAlign w:val="center"/>
          </w:tcPr>
          <w:p>
            <w:pPr>
              <w:spacing w:after="0"/>
            </w:pPr>
            <w:r/>
            <w:r>
              <w:rPr>
                <w:rFonts w:ascii="Aptos" w:hAnsi="Aptos"/>
                <w:b w:val="0"/>
                <w:color w:val="222222"/>
                <w:sz w:val="16"/>
              </w:rPr>
              <w:t>Farm-level GHG screening, MRV preparation and carbon-reduction assessment</w:t>
            </w:r>
          </w:p>
        </w:tc>
      </w:tr>
      <w:tr>
        <w:tc>
          <w:tcPr>
            <w:tcW w:type="dxa" w:w="2448"/>
            <w:vAlign w:val="center"/>
          </w:tcPr>
          <w:p>
            <w:pPr>
              <w:spacing w:after="0"/>
            </w:pPr>
            <w:r>
              <w:rPr>
                <w:b/>
              </w:rPr>
            </w:r>
            <w:r>
              <w:rPr>
                <w:rFonts w:ascii="Aptos" w:hAnsi="Aptos"/>
                <w:b w:val="0"/>
                <w:color w:val="222222"/>
                <w:sz w:val="16"/>
              </w:rPr>
              <w:t>Methodology status</w:t>
            </w:r>
          </w:p>
        </w:tc>
        <w:tc>
          <w:tcPr>
            <w:tcW w:type="dxa" w:w="7776"/>
            <w:vAlign w:val="center"/>
          </w:tcPr>
          <w:p>
            <w:pPr>
              <w:spacing w:after="0"/>
            </w:pPr>
            <w:r/>
            <w:r>
              <w:rPr>
                <w:rFonts w:ascii="Aptos" w:hAnsi="Aptos"/>
                <w:b w:val="0"/>
                <w:color w:val="222222"/>
                <w:sz w:val="16"/>
              </w:rPr>
              <w:t>MRV-ready calculation framework; not a standalone carbon-credit standard or verification decision</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FF2CC"/>
          </w:tcPr>
          <w:p>
            <w:pPr>
              <w:spacing w:after="40"/>
            </w:pPr>
            <w:r>
              <w:rPr>
                <w:b/>
                <w:color w:val="BF9000"/>
              </w:rPr>
              <w:t xml:space="preserve">Critical scope rule:  </w:t>
            </w:r>
            <w:r>
              <w:rPr>
                <w:sz w:val="18"/>
              </w:rPr>
              <w:t>This manual applies only to the v3.4 IMC configuration. Mechanical aeration is not an allowable operating input for this configuration; Paddlewheel and Blower energy are therefore locked to zero.</w:t>
            </w:r>
          </w:p>
        </w:tc>
      </w:tr>
    </w:tbl>
    <w:p>
      <w:pPr>
        <w:spacing w:after="20"/>
      </w:pPr>
    </w:p>
    <w:p/>
    <w:p>
      <w:pPr>
        <w:jc w:val="center"/>
      </w:pPr>
      <w:r>
        <w:rPr>
          <w:color w:val="666666"/>
          <w:sz w:val="18"/>
        </w:rPr>
        <w:t>Version 1.0  |  Methodology documentation aligned to workbook v3.4</w:t>
      </w:r>
    </w:p>
    <w:p>
      <w:r>
        <w:br w:type="page"/>
      </w:r>
    </w:p>
    <w:p>
      <w:pPr>
        <w:pStyle w:val="Heading1"/>
      </w:pPr>
      <w:r>
        <w:t>Document Structure</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7365D"/>
          </w:tcPr>
          <w:p>
            <w:pPr>
              <w:spacing w:after="0"/>
            </w:pPr>
            <w:r/>
            <w:r>
              <w:rPr>
                <w:rFonts w:ascii="Aptos" w:hAnsi="Aptos"/>
                <w:b/>
                <w:color w:val="FFFFFF"/>
                <w:sz w:val="17"/>
              </w:rPr>
              <w:t>Section</w:t>
            </w:r>
          </w:p>
        </w:tc>
        <w:tc>
          <w:tcPr>
            <w:tcW w:type="dxa" w:w="8496"/>
            <w:vAlign w:val="center"/>
            <w:shd w:fill="17365D"/>
          </w:tcPr>
          <w:p>
            <w:pPr>
              <w:spacing w:after="0"/>
            </w:pPr>
            <w:r/>
            <w:r>
              <w:rPr>
                <w:rFonts w:ascii="Aptos" w:hAnsi="Aptos"/>
                <w:b/>
                <w:color w:val="FFFFFF"/>
                <w:sz w:val="17"/>
              </w:rPr>
              <w:t>Content</w:t>
            </w:r>
          </w:p>
        </w:tc>
      </w:tr>
      <w:tr>
        <w:tc>
          <w:tcPr>
            <w:tcW w:type="dxa" w:w="1728"/>
            <w:vAlign w:val="center"/>
          </w:tcPr>
          <w:p>
            <w:pPr>
              <w:spacing w:after="0"/>
            </w:pPr>
            <w:r>
              <w:rPr>
                <w:b/>
              </w:rPr>
            </w:r>
            <w:r>
              <w:rPr>
                <w:rFonts w:ascii="Aptos" w:hAnsi="Aptos"/>
                <w:b w:val="0"/>
                <w:color w:val="222222"/>
                <w:sz w:val="16"/>
              </w:rPr>
              <w:t>Section 1</w:t>
            </w:r>
          </w:p>
        </w:tc>
        <w:tc>
          <w:tcPr>
            <w:tcW w:type="dxa" w:w="8496"/>
            <w:vAlign w:val="center"/>
          </w:tcPr>
          <w:p>
            <w:pPr>
              <w:spacing w:after="0"/>
            </w:pPr>
            <w:r/>
            <w:r>
              <w:rPr>
                <w:rFonts w:ascii="Aptos" w:hAnsi="Aptos"/>
                <w:b w:val="0"/>
                <w:color w:val="222222"/>
                <w:sz w:val="16"/>
              </w:rPr>
              <w:t>MRV Data Collection Protocol (The Inputs)</w:t>
            </w:r>
          </w:p>
        </w:tc>
      </w:tr>
      <w:tr>
        <w:tc>
          <w:tcPr>
            <w:tcW w:type="dxa" w:w="1728"/>
            <w:vAlign w:val="center"/>
          </w:tcPr>
          <w:p>
            <w:pPr>
              <w:spacing w:after="0"/>
            </w:pPr>
            <w:r>
              <w:rPr>
                <w:b/>
              </w:rPr>
            </w:r>
            <w:r>
              <w:rPr>
                <w:rFonts w:ascii="Aptos" w:hAnsi="Aptos"/>
                <w:b w:val="0"/>
                <w:color w:val="222222"/>
                <w:sz w:val="16"/>
              </w:rPr>
              <w:t>1.1</w:t>
            </w:r>
          </w:p>
        </w:tc>
        <w:tc>
          <w:tcPr>
            <w:tcW w:type="dxa" w:w="8496"/>
            <w:vAlign w:val="center"/>
          </w:tcPr>
          <w:p>
            <w:pPr>
              <w:spacing w:after="0"/>
            </w:pPr>
            <w:r/>
            <w:r>
              <w:rPr>
                <w:rFonts w:ascii="Aptos" w:hAnsi="Aptos"/>
                <w:b w:val="0"/>
                <w:color w:val="222222"/>
                <w:sz w:val="16"/>
              </w:rPr>
              <w:t>Pre-Stocking / Baseline Enrollment</w:t>
            </w:r>
          </w:p>
        </w:tc>
      </w:tr>
      <w:tr>
        <w:tc>
          <w:tcPr>
            <w:tcW w:type="dxa" w:w="1728"/>
            <w:vAlign w:val="center"/>
          </w:tcPr>
          <w:p>
            <w:pPr>
              <w:spacing w:after="0"/>
            </w:pPr>
            <w:r>
              <w:rPr>
                <w:b/>
              </w:rPr>
            </w:r>
            <w:r>
              <w:rPr>
                <w:rFonts w:ascii="Aptos" w:hAnsi="Aptos"/>
                <w:b w:val="0"/>
                <w:color w:val="222222"/>
                <w:sz w:val="16"/>
              </w:rPr>
              <w:t>1.2</w:t>
            </w:r>
          </w:p>
        </w:tc>
        <w:tc>
          <w:tcPr>
            <w:tcW w:type="dxa" w:w="8496"/>
            <w:vAlign w:val="center"/>
          </w:tcPr>
          <w:p>
            <w:pPr>
              <w:spacing w:after="0"/>
            </w:pPr>
            <w:r/>
            <w:r>
              <w:rPr>
                <w:rFonts w:ascii="Aptos" w:hAnsi="Aptos"/>
                <w:b w:val="0"/>
                <w:color w:val="222222"/>
                <w:sz w:val="16"/>
              </w:rPr>
              <w:t>Daily Operational Logs</w:t>
            </w:r>
          </w:p>
        </w:tc>
      </w:tr>
      <w:tr>
        <w:tc>
          <w:tcPr>
            <w:tcW w:type="dxa" w:w="1728"/>
            <w:vAlign w:val="center"/>
          </w:tcPr>
          <w:p>
            <w:pPr>
              <w:spacing w:after="0"/>
            </w:pPr>
            <w:r>
              <w:rPr>
                <w:b/>
              </w:rPr>
            </w:r>
            <w:r>
              <w:rPr>
                <w:rFonts w:ascii="Aptos" w:hAnsi="Aptos"/>
                <w:b w:val="0"/>
                <w:color w:val="222222"/>
                <w:sz w:val="16"/>
              </w:rPr>
              <w:t>1.3</w:t>
            </w:r>
          </w:p>
        </w:tc>
        <w:tc>
          <w:tcPr>
            <w:tcW w:type="dxa" w:w="8496"/>
            <w:vAlign w:val="center"/>
          </w:tcPr>
          <w:p>
            <w:pPr>
              <w:spacing w:after="0"/>
            </w:pPr>
            <w:r/>
            <w:r>
              <w:rPr>
                <w:rFonts w:ascii="Aptos" w:hAnsi="Aptos"/>
                <w:b w:val="0"/>
                <w:color w:val="222222"/>
                <w:sz w:val="16"/>
              </w:rPr>
              <w:t>Weekly Water Quality &amp; Plankton Log</w:t>
            </w:r>
          </w:p>
        </w:tc>
      </w:tr>
      <w:tr>
        <w:tc>
          <w:tcPr>
            <w:tcW w:type="dxa" w:w="1728"/>
            <w:vAlign w:val="center"/>
          </w:tcPr>
          <w:p>
            <w:pPr>
              <w:spacing w:after="0"/>
            </w:pPr>
            <w:r>
              <w:rPr>
                <w:b/>
              </w:rPr>
            </w:r>
            <w:r>
              <w:rPr>
                <w:rFonts w:ascii="Aptos" w:hAnsi="Aptos"/>
                <w:b w:val="0"/>
                <w:color w:val="222222"/>
                <w:sz w:val="16"/>
              </w:rPr>
              <w:t>1.4</w:t>
            </w:r>
          </w:p>
        </w:tc>
        <w:tc>
          <w:tcPr>
            <w:tcW w:type="dxa" w:w="8496"/>
            <w:vAlign w:val="center"/>
          </w:tcPr>
          <w:p>
            <w:pPr>
              <w:spacing w:after="0"/>
            </w:pPr>
            <w:r/>
            <w:r>
              <w:rPr>
                <w:rFonts w:ascii="Aptos" w:hAnsi="Aptos"/>
                <w:b w:val="0"/>
                <w:color w:val="222222"/>
                <w:sz w:val="16"/>
              </w:rPr>
              <w:t>Monthly / Mid-Cycle Checks</w:t>
            </w:r>
          </w:p>
        </w:tc>
      </w:tr>
      <w:tr>
        <w:tc>
          <w:tcPr>
            <w:tcW w:type="dxa" w:w="1728"/>
            <w:vAlign w:val="center"/>
          </w:tcPr>
          <w:p>
            <w:pPr>
              <w:spacing w:after="0"/>
            </w:pPr>
            <w:r>
              <w:rPr>
                <w:b/>
              </w:rPr>
            </w:r>
            <w:r>
              <w:rPr>
                <w:rFonts w:ascii="Aptos" w:hAnsi="Aptos"/>
                <w:b w:val="0"/>
                <w:color w:val="222222"/>
                <w:sz w:val="16"/>
              </w:rPr>
              <w:t>1.5</w:t>
            </w:r>
          </w:p>
        </w:tc>
        <w:tc>
          <w:tcPr>
            <w:tcW w:type="dxa" w:w="8496"/>
            <w:vAlign w:val="center"/>
          </w:tcPr>
          <w:p>
            <w:pPr>
              <w:spacing w:after="0"/>
            </w:pPr>
            <w:r/>
            <w:r>
              <w:rPr>
                <w:rFonts w:ascii="Aptos" w:hAnsi="Aptos"/>
                <w:b w:val="0"/>
                <w:color w:val="222222"/>
                <w:sz w:val="16"/>
              </w:rPr>
              <w:t>Harvest &amp; Post-Harvest</w:t>
            </w:r>
          </w:p>
        </w:tc>
      </w:tr>
      <w:tr>
        <w:tc>
          <w:tcPr>
            <w:tcW w:type="dxa" w:w="1728"/>
            <w:vAlign w:val="center"/>
          </w:tcPr>
          <w:p>
            <w:pPr>
              <w:spacing w:after="0"/>
            </w:pPr>
            <w:r>
              <w:rPr>
                <w:b/>
              </w:rPr>
            </w:r>
            <w:r>
              <w:rPr>
                <w:rFonts w:ascii="Aptos" w:hAnsi="Aptos"/>
                <w:b w:val="0"/>
                <w:color w:val="222222"/>
                <w:sz w:val="16"/>
              </w:rPr>
              <w:t>1.6</w:t>
            </w:r>
          </w:p>
        </w:tc>
        <w:tc>
          <w:tcPr>
            <w:tcW w:type="dxa" w:w="8496"/>
            <w:vAlign w:val="center"/>
          </w:tcPr>
          <w:p>
            <w:pPr>
              <w:spacing w:after="0"/>
            </w:pPr>
            <w:r/>
            <w:r>
              <w:rPr>
                <w:rFonts w:ascii="Aptos" w:hAnsi="Aptos"/>
                <w:b w:val="0"/>
                <w:color w:val="222222"/>
                <w:sz w:val="16"/>
              </w:rPr>
              <w:t>Feed Formulation Inputs</w:t>
            </w:r>
          </w:p>
        </w:tc>
      </w:tr>
      <w:tr>
        <w:tc>
          <w:tcPr>
            <w:tcW w:type="dxa" w:w="1728"/>
            <w:vAlign w:val="center"/>
          </w:tcPr>
          <w:p>
            <w:pPr>
              <w:spacing w:after="0"/>
            </w:pPr>
            <w:r>
              <w:rPr>
                <w:b/>
              </w:rPr>
            </w:r>
            <w:r>
              <w:rPr>
                <w:rFonts w:ascii="Aptos" w:hAnsi="Aptos"/>
                <w:b w:val="0"/>
                <w:color w:val="222222"/>
                <w:sz w:val="16"/>
              </w:rPr>
              <w:t>Section 2</w:t>
            </w:r>
          </w:p>
        </w:tc>
        <w:tc>
          <w:tcPr>
            <w:tcW w:type="dxa" w:w="8496"/>
            <w:vAlign w:val="center"/>
          </w:tcPr>
          <w:p>
            <w:pPr>
              <w:spacing w:after="0"/>
            </w:pPr>
            <w:r/>
            <w:r>
              <w:rPr>
                <w:rFonts w:ascii="Aptos" w:hAnsi="Aptos"/>
                <w:b w:val="0"/>
                <w:color w:val="222222"/>
                <w:sz w:val="16"/>
              </w:rPr>
              <w:t>The Calculation Engine (The Formulas)</w:t>
            </w:r>
          </w:p>
        </w:tc>
      </w:tr>
      <w:tr>
        <w:tc>
          <w:tcPr>
            <w:tcW w:type="dxa" w:w="1728"/>
            <w:vAlign w:val="center"/>
          </w:tcPr>
          <w:p>
            <w:pPr>
              <w:spacing w:after="0"/>
            </w:pPr>
            <w:r>
              <w:rPr>
                <w:b/>
              </w:rPr>
            </w:r>
            <w:r>
              <w:rPr>
                <w:rFonts w:ascii="Aptos" w:hAnsi="Aptos"/>
                <w:b w:val="0"/>
                <w:color w:val="222222"/>
                <w:sz w:val="16"/>
              </w:rPr>
              <w:t>2.1</w:t>
            </w:r>
          </w:p>
        </w:tc>
        <w:tc>
          <w:tcPr>
            <w:tcW w:type="dxa" w:w="8496"/>
            <w:vAlign w:val="center"/>
          </w:tcPr>
          <w:p>
            <w:pPr>
              <w:spacing w:after="0"/>
            </w:pPr>
            <w:r/>
            <w:r>
              <w:rPr>
                <w:rFonts w:ascii="Aptos" w:hAnsi="Aptos"/>
                <w:b w:val="0"/>
                <w:color w:val="222222"/>
                <w:sz w:val="16"/>
              </w:rPr>
              <w:t>Scope 3: Feed Manufacturing Emissions</w:t>
            </w:r>
          </w:p>
        </w:tc>
      </w:tr>
      <w:tr>
        <w:tc>
          <w:tcPr>
            <w:tcW w:type="dxa" w:w="1728"/>
            <w:vAlign w:val="center"/>
          </w:tcPr>
          <w:p>
            <w:pPr>
              <w:spacing w:after="0"/>
            </w:pPr>
            <w:r>
              <w:rPr>
                <w:b/>
              </w:rPr>
            </w:r>
            <w:r>
              <w:rPr>
                <w:rFonts w:ascii="Aptos" w:hAnsi="Aptos"/>
                <w:b w:val="0"/>
                <w:color w:val="222222"/>
                <w:sz w:val="16"/>
              </w:rPr>
              <w:t>2.2</w:t>
            </w:r>
          </w:p>
        </w:tc>
        <w:tc>
          <w:tcPr>
            <w:tcW w:type="dxa" w:w="8496"/>
            <w:vAlign w:val="center"/>
          </w:tcPr>
          <w:p>
            <w:pPr>
              <w:spacing w:after="0"/>
            </w:pPr>
            <w:r/>
            <w:r>
              <w:rPr>
                <w:rFonts w:ascii="Aptos" w:hAnsi="Aptos"/>
                <w:b w:val="0"/>
                <w:color w:val="222222"/>
                <w:sz w:val="16"/>
              </w:rPr>
              <w:t>Scope 1: Pond Biogeochemistry — The Boyd Engine</w:t>
            </w:r>
          </w:p>
        </w:tc>
      </w:tr>
      <w:tr>
        <w:tc>
          <w:tcPr>
            <w:tcW w:type="dxa" w:w="1728"/>
            <w:vAlign w:val="center"/>
          </w:tcPr>
          <w:p>
            <w:pPr>
              <w:spacing w:after="0"/>
            </w:pPr>
            <w:r>
              <w:rPr>
                <w:b/>
              </w:rPr>
            </w:r>
            <w:r>
              <w:rPr>
                <w:rFonts w:ascii="Aptos" w:hAnsi="Aptos"/>
                <w:b w:val="0"/>
                <w:color w:val="222222"/>
                <w:sz w:val="16"/>
              </w:rPr>
              <w:t>2.3</w:t>
            </w:r>
          </w:p>
        </w:tc>
        <w:tc>
          <w:tcPr>
            <w:tcW w:type="dxa" w:w="8496"/>
            <w:vAlign w:val="center"/>
          </w:tcPr>
          <w:p>
            <w:pPr>
              <w:spacing w:after="0"/>
            </w:pPr>
            <w:r/>
            <w:r>
              <w:rPr>
                <w:rFonts w:ascii="Aptos" w:hAnsi="Aptos"/>
                <w:b w:val="0"/>
                <w:color w:val="222222"/>
                <w:sz w:val="16"/>
              </w:rPr>
              <w:t>Scope 2: Energy Emissions</w:t>
            </w:r>
          </w:p>
        </w:tc>
      </w:tr>
      <w:tr>
        <w:tc>
          <w:tcPr>
            <w:tcW w:type="dxa" w:w="1728"/>
            <w:vAlign w:val="center"/>
          </w:tcPr>
          <w:p>
            <w:pPr>
              <w:spacing w:after="0"/>
            </w:pPr>
            <w:r>
              <w:rPr>
                <w:b/>
              </w:rPr>
            </w:r>
            <w:r>
              <w:rPr>
                <w:rFonts w:ascii="Aptos" w:hAnsi="Aptos"/>
                <w:b w:val="0"/>
                <w:color w:val="222222"/>
                <w:sz w:val="16"/>
              </w:rPr>
              <w:t>2.4</w:t>
            </w:r>
          </w:p>
        </w:tc>
        <w:tc>
          <w:tcPr>
            <w:tcW w:type="dxa" w:w="8496"/>
            <w:vAlign w:val="center"/>
          </w:tcPr>
          <w:p>
            <w:pPr>
              <w:spacing w:after="0"/>
            </w:pPr>
            <w:r/>
            <w:r>
              <w:rPr>
                <w:rFonts w:ascii="Aptos" w:hAnsi="Aptos"/>
                <w:b w:val="0"/>
                <w:color w:val="222222"/>
                <w:sz w:val="16"/>
              </w:rPr>
              <w:t>Dynamic Ecological Adjustments</w:t>
            </w:r>
          </w:p>
        </w:tc>
      </w:tr>
      <w:tr>
        <w:tc>
          <w:tcPr>
            <w:tcW w:type="dxa" w:w="1728"/>
            <w:vAlign w:val="center"/>
          </w:tcPr>
          <w:p>
            <w:pPr>
              <w:spacing w:after="0"/>
            </w:pPr>
            <w:r>
              <w:rPr>
                <w:b/>
              </w:rPr>
            </w:r>
            <w:r>
              <w:rPr>
                <w:rFonts w:ascii="Aptos" w:hAnsi="Aptos"/>
                <w:b w:val="0"/>
                <w:color w:val="222222"/>
                <w:sz w:val="16"/>
              </w:rPr>
              <w:t>2.5</w:t>
            </w:r>
          </w:p>
        </w:tc>
        <w:tc>
          <w:tcPr>
            <w:tcW w:type="dxa" w:w="8496"/>
            <w:vAlign w:val="center"/>
          </w:tcPr>
          <w:p>
            <w:pPr>
              <w:spacing w:after="0"/>
            </w:pPr>
            <w:r/>
            <w:r>
              <w:rPr>
                <w:rFonts w:ascii="Aptos" w:hAnsi="Aptos"/>
                <w:b w:val="0"/>
                <w:color w:val="222222"/>
                <w:sz w:val="16"/>
              </w:rPr>
              <w:t>Benthic Coupling — Soil Carbon</w:t>
            </w:r>
          </w:p>
        </w:tc>
      </w:tr>
      <w:tr>
        <w:tc>
          <w:tcPr>
            <w:tcW w:type="dxa" w:w="1728"/>
            <w:vAlign w:val="center"/>
          </w:tcPr>
          <w:p>
            <w:pPr>
              <w:spacing w:after="0"/>
            </w:pPr>
            <w:r>
              <w:rPr>
                <w:b/>
              </w:rPr>
            </w:r>
            <w:r>
              <w:rPr>
                <w:rFonts w:ascii="Aptos" w:hAnsi="Aptos"/>
                <w:b w:val="0"/>
                <w:color w:val="222222"/>
                <w:sz w:val="16"/>
              </w:rPr>
              <w:t>Section 3</w:t>
            </w:r>
          </w:p>
        </w:tc>
        <w:tc>
          <w:tcPr>
            <w:tcW w:type="dxa" w:w="8496"/>
            <w:vAlign w:val="center"/>
          </w:tcPr>
          <w:p>
            <w:pPr>
              <w:spacing w:after="0"/>
            </w:pPr>
            <w:r/>
            <w:r>
              <w:rPr>
                <w:rFonts w:ascii="Aptos" w:hAnsi="Aptos"/>
                <w:b w:val="0"/>
                <w:color w:val="222222"/>
                <w:sz w:val="16"/>
              </w:rPr>
              <w:t>Carbon Credit Finalization &amp; Integrity Checks</w:t>
            </w:r>
          </w:p>
        </w:tc>
      </w:tr>
      <w:tr>
        <w:tc>
          <w:tcPr>
            <w:tcW w:type="dxa" w:w="1728"/>
            <w:vAlign w:val="center"/>
          </w:tcPr>
          <w:p>
            <w:pPr>
              <w:spacing w:after="0"/>
            </w:pPr>
            <w:r>
              <w:rPr>
                <w:b/>
              </w:rPr>
            </w:r>
            <w:r>
              <w:rPr>
                <w:rFonts w:ascii="Aptos" w:hAnsi="Aptos"/>
                <w:b w:val="0"/>
                <w:color w:val="222222"/>
                <w:sz w:val="16"/>
              </w:rPr>
              <w:t>3.1</w:t>
            </w:r>
          </w:p>
        </w:tc>
        <w:tc>
          <w:tcPr>
            <w:tcW w:type="dxa" w:w="8496"/>
            <w:vAlign w:val="center"/>
          </w:tcPr>
          <w:p>
            <w:pPr>
              <w:spacing w:after="0"/>
            </w:pPr>
            <w:r/>
            <w:r>
              <w:rPr>
                <w:rFonts w:ascii="Aptos" w:hAnsi="Aptos"/>
                <w:b w:val="0"/>
                <w:color w:val="222222"/>
                <w:sz w:val="16"/>
              </w:rPr>
              <w:t>Net Emission &amp; Carbon Reduction</w:t>
            </w:r>
          </w:p>
        </w:tc>
      </w:tr>
      <w:tr>
        <w:tc>
          <w:tcPr>
            <w:tcW w:type="dxa" w:w="1728"/>
            <w:vAlign w:val="center"/>
          </w:tcPr>
          <w:p>
            <w:pPr>
              <w:spacing w:after="0"/>
            </w:pPr>
            <w:r>
              <w:rPr>
                <w:b/>
              </w:rPr>
            </w:r>
            <w:r>
              <w:rPr>
                <w:rFonts w:ascii="Aptos" w:hAnsi="Aptos"/>
                <w:b w:val="0"/>
                <w:color w:val="222222"/>
                <w:sz w:val="16"/>
              </w:rPr>
              <w:t>3.2</w:t>
            </w:r>
          </w:p>
        </w:tc>
        <w:tc>
          <w:tcPr>
            <w:tcW w:type="dxa" w:w="8496"/>
            <w:vAlign w:val="center"/>
          </w:tcPr>
          <w:p>
            <w:pPr>
              <w:spacing w:after="0"/>
            </w:pPr>
            <w:r/>
            <w:r>
              <w:rPr>
                <w:rFonts w:ascii="Aptos" w:hAnsi="Aptos"/>
                <w:b w:val="0"/>
                <w:color w:val="222222"/>
                <w:sz w:val="16"/>
              </w:rPr>
              <w:t>MRV Integrity Traffic Lights</w:t>
            </w:r>
          </w:p>
        </w:tc>
      </w:tr>
      <w:tr>
        <w:tc>
          <w:tcPr>
            <w:tcW w:type="dxa" w:w="1728"/>
            <w:vAlign w:val="center"/>
          </w:tcPr>
          <w:p>
            <w:pPr>
              <w:spacing w:after="0"/>
            </w:pPr>
            <w:r>
              <w:rPr>
                <w:b/>
              </w:rPr>
            </w:r>
            <w:r>
              <w:rPr>
                <w:rFonts w:ascii="Aptos" w:hAnsi="Aptos"/>
                <w:b w:val="0"/>
                <w:color w:val="222222"/>
                <w:sz w:val="16"/>
              </w:rPr>
              <w:t>3.3</w:t>
            </w:r>
          </w:p>
        </w:tc>
        <w:tc>
          <w:tcPr>
            <w:tcW w:type="dxa" w:w="8496"/>
            <w:vAlign w:val="center"/>
          </w:tcPr>
          <w:p>
            <w:pPr>
              <w:spacing w:after="0"/>
            </w:pPr>
            <w:r/>
            <w:r>
              <w:rPr>
                <w:rFonts w:ascii="Aptos" w:hAnsi="Aptos"/>
                <w:b w:val="0"/>
                <w:color w:val="222222"/>
                <w:sz w:val="16"/>
              </w:rPr>
              <w:t>Exclusions &amp; Caveats</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D9EAF7"/>
          </w:tcPr>
          <w:p>
            <w:pPr>
              <w:spacing w:after="40"/>
            </w:pPr>
            <w:r>
              <w:rPr>
                <w:b/>
                <w:color w:val="17365D"/>
              </w:rPr>
              <w:t xml:space="preserve">Use of this manual:  </w:t>
            </w:r>
            <w:r>
              <w:rPr>
                <w:sz w:val="18"/>
              </w:rPr>
              <w:t>Farm records are the primary evidence layer. The workbook is the calculation layer. Laboratory reports, invoices, meter readings, photographs, harvest records and other source documents are the audit evidence layer.</w:t>
            </w:r>
          </w:p>
        </w:tc>
      </w:tr>
    </w:tbl>
    <w:p>
      <w:pPr>
        <w:spacing w:after="20"/>
      </w:pPr>
    </w:p>
    <w:p>
      <w:pPr>
        <w:pStyle w:val="Heading1"/>
      </w:pPr>
      <w:r>
        <w:t>Purpose, Scope and Methodological Position</w:t>
      </w:r>
    </w:p>
    <w:p>
      <w:r>
        <w:t>The Indian Aquaculture GHG &amp; Carbon MRV Tool v3.4 is a field-data-driven calculator designed for semi-intensive Indian Major Carp (IMC) polyculture in earthen ponds without mechanical aeration. The methodology replaces selected static defaults with measured or invoice-derived observations and uses bounded ecological adjustment factors for natural food availability, seasonal solar conditions, diurnal oxygen stress, plankton composition and sediment carbon dynamics.</w:t>
      </w:r>
    </w:p>
    <w:p>
      <w:r>
        <w:t>The model preserves the biological population cascade used in the Growth &amp; Feed Model and Harvest Schedule. Dynamic ecological variables are introduced primarily through feed requirement, pond biogeochemistry and emissions calculations rather than by rewriting the underlying population equations.</w:t>
      </w:r>
    </w:p>
    <w:tbl>
      <w:tblPr>
        <w:tblStyle w:val="TableGrid"/>
        <w:tblW w:type="auto" w:w="0"/>
        <w:tblLook w:firstColumn="1" w:firstRow="1" w:lastColumn="0" w:lastRow="0" w:noHBand="0" w:noVBand="1" w:val="04A0"/>
      </w:tblPr>
      <w:tblGrid>
        <w:gridCol w:w="10080"/>
      </w:tblGrid>
      <w:tr>
        <w:tc>
          <w:tcPr>
            <w:tcW w:type="dxa" w:w="10080"/>
            <w:shd w:fill="FCE4D6"/>
          </w:tcPr>
          <w:p>
            <w:pPr>
              <w:spacing w:after="40"/>
            </w:pPr>
            <w:r>
              <w:rPr>
                <w:b/>
                <w:color w:val="C00000"/>
              </w:rPr>
              <w:t xml:space="preserve">Carbon-credit boundary:  </w:t>
            </w:r>
            <w:r>
              <w:rPr>
                <w:sz w:val="18"/>
              </w:rPr>
              <w:t>A calculated emission reduction is not automatically a verified carbon credit. Any credit claim must satisfy the applicable carbon standard, methodology, baseline/additionality rules, monitoring requirements, uncertainty treatment, permanence requirements, validation/verification procedures and project-specific eligibility criteria.</w:t>
            </w:r>
          </w:p>
        </w:tc>
      </w:tr>
    </w:tbl>
    <w:p>
      <w:pPr>
        <w:spacing w:after="20"/>
      </w:pPr>
    </w:p>
    <w:p>
      <w:pPr>
        <w:pStyle w:val="Heading1"/>
      </w:pPr>
      <w:r>
        <w:t>Section 1: MRV Data Collection Protocol (The Inputs)</w:t>
      </w:r>
    </w:p>
    <w:p>
      <w:r>
        <w:t>All field data shall be traceable to a farm, pond, crop cycle and observation date. The minimum evidence chain is: source observation → recorded value → workbook input → calculated parameter → emissions result → audit trail.</w:t>
      </w:r>
    </w:p>
    <w:p>
      <w:pPr>
        <w:pStyle w:val="Heading2"/>
      </w:pPr>
      <w:r>
        <w:t>1.1 Pre-Stocking / Baseline Enrollment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656"/>
            <w:vAlign w:val="center"/>
            <w:shd w:fill="17365D"/>
          </w:tcPr>
          <w:p>
            <w:pPr>
              <w:spacing w:after="0"/>
            </w:pPr>
            <w:r/>
            <w:r>
              <w:rPr>
                <w:rFonts w:ascii="Aptos" w:hAnsi="Aptos"/>
                <w:b/>
                <w:color w:val="FFFFFF"/>
                <w:sz w:val="17"/>
              </w:rPr>
              <w:t>Data category</w:t>
            </w:r>
          </w:p>
        </w:tc>
        <w:tc>
          <w:tcPr>
            <w:tcW w:type="dxa" w:w="2880"/>
            <w:vAlign w:val="center"/>
            <w:shd w:fill="17365D"/>
          </w:tcPr>
          <w:p>
            <w:pPr>
              <w:spacing w:after="0"/>
            </w:pPr>
            <w:r/>
            <w:r>
              <w:rPr>
                <w:rFonts w:ascii="Aptos" w:hAnsi="Aptos"/>
                <w:b/>
                <w:color w:val="FFFFFF"/>
                <w:sz w:val="17"/>
              </w:rPr>
              <w:t>Required input</w:t>
            </w:r>
          </w:p>
        </w:tc>
        <w:tc>
          <w:tcPr>
            <w:tcW w:type="dxa" w:w="1584"/>
            <w:vAlign w:val="center"/>
            <w:shd w:fill="17365D"/>
          </w:tcPr>
          <w:p>
            <w:pPr>
              <w:spacing w:after="0"/>
            </w:pPr>
            <w:r/>
            <w:r>
              <w:rPr>
                <w:rFonts w:ascii="Aptos" w:hAnsi="Aptos"/>
                <w:b/>
                <w:color w:val="FFFFFF"/>
                <w:sz w:val="17"/>
              </w:rPr>
              <w:t>Unit / format</w:t>
            </w:r>
          </w:p>
        </w:tc>
        <w:tc>
          <w:tcPr>
            <w:tcW w:type="dxa" w:w="1656"/>
            <w:vAlign w:val="center"/>
            <w:shd w:fill="17365D"/>
          </w:tcPr>
          <w:p>
            <w:pPr>
              <w:spacing w:after="0"/>
            </w:pPr>
            <w:r/>
            <w:r>
              <w:rPr>
                <w:rFonts w:ascii="Aptos" w:hAnsi="Aptos"/>
                <w:b/>
                <w:color w:val="FFFFFF"/>
                <w:sz w:val="17"/>
              </w:rPr>
              <w:t>Frequency</w:t>
            </w:r>
          </w:p>
        </w:tc>
        <w:tc>
          <w:tcPr>
            <w:tcW w:type="dxa" w:w="2880"/>
            <w:vAlign w:val="center"/>
            <w:shd w:fill="17365D"/>
          </w:tcPr>
          <w:p>
            <w:pPr>
              <w:spacing w:after="0"/>
            </w:pPr>
            <w:r/>
            <w:r>
              <w:rPr>
                <w:rFonts w:ascii="Aptos" w:hAnsi="Aptos"/>
                <w:b/>
                <w:color w:val="FFFFFF"/>
                <w:sz w:val="17"/>
              </w:rPr>
              <w:t>Evidence / verification</w:t>
            </w:r>
          </w:p>
        </w:tc>
      </w:tr>
      <w:tr>
        <w:tc>
          <w:tcPr>
            <w:tcW w:type="dxa" w:w="1656"/>
            <w:vAlign w:val="center"/>
          </w:tcPr>
          <w:p>
            <w:pPr>
              <w:spacing w:after="0"/>
            </w:pPr>
            <w:r>
              <w:rPr>
                <w:b/>
              </w:rPr>
            </w:r>
            <w:r>
              <w:rPr>
                <w:rFonts w:ascii="Aptos" w:hAnsi="Aptos"/>
                <w:b w:val="0"/>
                <w:color w:val="222222"/>
                <w:sz w:val="16"/>
              </w:rPr>
              <w:t>Farm identity</w:t>
            </w:r>
          </w:p>
        </w:tc>
        <w:tc>
          <w:tcPr>
            <w:tcW w:type="dxa" w:w="2880"/>
            <w:vAlign w:val="center"/>
          </w:tcPr>
          <w:p>
            <w:pPr>
              <w:spacing w:after="0"/>
            </w:pPr>
            <w:r/>
            <w:r>
              <w:rPr>
                <w:rFonts w:ascii="Aptos" w:hAnsi="Aptos"/>
                <w:b w:val="0"/>
                <w:color w:val="222222"/>
                <w:sz w:val="16"/>
              </w:rPr>
              <w:t>Farm ID, pond ID, farmer/operator</w:t>
            </w:r>
          </w:p>
        </w:tc>
        <w:tc>
          <w:tcPr>
            <w:tcW w:type="dxa" w:w="1584"/>
            <w:vAlign w:val="center"/>
          </w:tcPr>
          <w:p>
            <w:pPr>
              <w:spacing w:after="0"/>
            </w:pPr>
            <w:r/>
            <w:r>
              <w:rPr>
                <w:rFonts w:ascii="Aptos" w:hAnsi="Aptos"/>
                <w:b w:val="0"/>
                <w:color w:val="222222"/>
                <w:sz w:val="16"/>
              </w:rPr>
              <w:t>Unique ID / text</w:t>
            </w:r>
          </w:p>
        </w:tc>
        <w:tc>
          <w:tcPr>
            <w:tcW w:type="dxa" w:w="1656"/>
            <w:vAlign w:val="center"/>
          </w:tcPr>
          <w:p>
            <w:pPr>
              <w:spacing w:after="0"/>
            </w:pPr>
            <w:r/>
            <w:r>
              <w:rPr>
                <w:rFonts w:ascii="Aptos" w:hAnsi="Aptos"/>
                <w:b w:val="0"/>
                <w:color w:val="222222"/>
                <w:sz w:val="16"/>
              </w:rPr>
              <w:t>Once per crop</w:t>
            </w:r>
          </w:p>
        </w:tc>
        <w:tc>
          <w:tcPr>
            <w:tcW w:type="dxa" w:w="2880"/>
            <w:vAlign w:val="center"/>
          </w:tcPr>
          <w:p>
            <w:pPr>
              <w:spacing w:after="0"/>
            </w:pPr>
            <w:r/>
            <w:r>
              <w:rPr>
                <w:rFonts w:ascii="Aptos" w:hAnsi="Aptos"/>
                <w:b w:val="0"/>
                <w:color w:val="222222"/>
                <w:sz w:val="16"/>
              </w:rPr>
              <w:t>Farm register; identity record</w:t>
            </w:r>
          </w:p>
        </w:tc>
      </w:tr>
      <w:tr>
        <w:tc>
          <w:tcPr>
            <w:tcW w:type="dxa" w:w="1656"/>
            <w:vAlign w:val="center"/>
          </w:tcPr>
          <w:p>
            <w:pPr>
              <w:spacing w:after="0"/>
            </w:pPr>
            <w:r>
              <w:rPr>
                <w:b/>
              </w:rPr>
            </w:r>
            <w:r>
              <w:rPr>
                <w:rFonts w:ascii="Aptos" w:hAnsi="Aptos"/>
                <w:b w:val="0"/>
                <w:color w:val="222222"/>
                <w:sz w:val="16"/>
              </w:rPr>
              <w:t>Geospatial</w:t>
            </w:r>
          </w:p>
        </w:tc>
        <w:tc>
          <w:tcPr>
            <w:tcW w:type="dxa" w:w="2880"/>
            <w:vAlign w:val="center"/>
          </w:tcPr>
          <w:p>
            <w:pPr>
              <w:spacing w:after="0"/>
            </w:pPr>
            <w:r/>
            <w:r>
              <w:rPr>
                <w:rFonts w:ascii="Aptos" w:hAnsi="Aptos"/>
                <w:b w:val="0"/>
                <w:color w:val="222222"/>
                <w:sz w:val="16"/>
              </w:rPr>
              <w:t>Latitude</w:t>
            </w:r>
          </w:p>
        </w:tc>
        <w:tc>
          <w:tcPr>
            <w:tcW w:type="dxa" w:w="1584"/>
            <w:vAlign w:val="center"/>
          </w:tcPr>
          <w:p>
            <w:pPr>
              <w:spacing w:after="0"/>
            </w:pPr>
            <w:r/>
            <w:r>
              <w:rPr>
                <w:rFonts w:ascii="Aptos" w:hAnsi="Aptos"/>
                <w:b w:val="0"/>
                <w:color w:val="222222"/>
                <w:sz w:val="16"/>
              </w:rPr>
              <w:t>Decimal degrees</w:t>
            </w:r>
          </w:p>
        </w:tc>
        <w:tc>
          <w:tcPr>
            <w:tcW w:type="dxa" w:w="1656"/>
            <w:vAlign w:val="center"/>
          </w:tcPr>
          <w:p>
            <w:pPr>
              <w:spacing w:after="0"/>
            </w:pPr>
            <w:r/>
            <w:r>
              <w:rPr>
                <w:rFonts w:ascii="Aptos" w:hAnsi="Aptos"/>
                <w:b w:val="0"/>
                <w:color w:val="222222"/>
                <w:sz w:val="16"/>
              </w:rPr>
              <w:t>Once per pond/crop</w:t>
            </w:r>
          </w:p>
        </w:tc>
        <w:tc>
          <w:tcPr>
            <w:tcW w:type="dxa" w:w="2880"/>
            <w:vAlign w:val="center"/>
          </w:tcPr>
          <w:p>
            <w:pPr>
              <w:spacing w:after="0"/>
            </w:pPr>
            <w:r/>
            <w:r>
              <w:rPr>
                <w:rFonts w:ascii="Aptos" w:hAnsi="Aptos"/>
                <w:b w:val="0"/>
                <w:color w:val="222222"/>
                <w:sz w:val="16"/>
              </w:rPr>
              <w:t>GPS/mobile coordinate record</w:t>
            </w:r>
          </w:p>
        </w:tc>
      </w:tr>
      <w:tr>
        <w:tc>
          <w:tcPr>
            <w:tcW w:type="dxa" w:w="1656"/>
            <w:vAlign w:val="center"/>
          </w:tcPr>
          <w:p>
            <w:pPr>
              <w:spacing w:after="0"/>
            </w:pPr>
            <w:r>
              <w:rPr>
                <w:b/>
              </w:rPr>
            </w:r>
            <w:r>
              <w:rPr>
                <w:rFonts w:ascii="Aptos" w:hAnsi="Aptos"/>
                <w:b w:val="0"/>
                <w:color w:val="222222"/>
                <w:sz w:val="16"/>
              </w:rPr>
              <w:t>Geospatial</w:t>
            </w:r>
          </w:p>
        </w:tc>
        <w:tc>
          <w:tcPr>
            <w:tcW w:type="dxa" w:w="2880"/>
            <w:vAlign w:val="center"/>
          </w:tcPr>
          <w:p>
            <w:pPr>
              <w:spacing w:after="0"/>
            </w:pPr>
            <w:r/>
            <w:r>
              <w:rPr>
                <w:rFonts w:ascii="Aptos" w:hAnsi="Aptos"/>
                <w:b w:val="0"/>
                <w:color w:val="222222"/>
                <w:sz w:val="16"/>
              </w:rPr>
              <w:t>Longitude</w:t>
            </w:r>
          </w:p>
        </w:tc>
        <w:tc>
          <w:tcPr>
            <w:tcW w:type="dxa" w:w="1584"/>
            <w:vAlign w:val="center"/>
          </w:tcPr>
          <w:p>
            <w:pPr>
              <w:spacing w:after="0"/>
            </w:pPr>
            <w:r/>
            <w:r>
              <w:rPr>
                <w:rFonts w:ascii="Aptos" w:hAnsi="Aptos"/>
                <w:b w:val="0"/>
                <w:color w:val="222222"/>
                <w:sz w:val="16"/>
              </w:rPr>
              <w:t>Decimal degrees</w:t>
            </w:r>
          </w:p>
        </w:tc>
        <w:tc>
          <w:tcPr>
            <w:tcW w:type="dxa" w:w="1656"/>
            <w:vAlign w:val="center"/>
          </w:tcPr>
          <w:p>
            <w:pPr>
              <w:spacing w:after="0"/>
            </w:pPr>
            <w:r/>
            <w:r>
              <w:rPr>
                <w:rFonts w:ascii="Aptos" w:hAnsi="Aptos"/>
                <w:b w:val="0"/>
                <w:color w:val="222222"/>
                <w:sz w:val="16"/>
              </w:rPr>
              <w:t>Once per pond/crop</w:t>
            </w:r>
          </w:p>
        </w:tc>
        <w:tc>
          <w:tcPr>
            <w:tcW w:type="dxa" w:w="2880"/>
            <w:vAlign w:val="center"/>
          </w:tcPr>
          <w:p>
            <w:pPr>
              <w:spacing w:after="0"/>
            </w:pPr>
            <w:r/>
            <w:r>
              <w:rPr>
                <w:rFonts w:ascii="Aptos" w:hAnsi="Aptos"/>
                <w:b w:val="0"/>
                <w:color w:val="222222"/>
                <w:sz w:val="16"/>
              </w:rPr>
              <w:t>GPS/mobile coordinate record</w:t>
            </w:r>
          </w:p>
        </w:tc>
      </w:tr>
      <w:tr>
        <w:tc>
          <w:tcPr>
            <w:tcW w:type="dxa" w:w="1656"/>
            <w:vAlign w:val="center"/>
          </w:tcPr>
          <w:p>
            <w:pPr>
              <w:spacing w:after="0"/>
            </w:pPr>
            <w:r>
              <w:rPr>
                <w:b/>
              </w:rPr>
            </w:r>
            <w:r>
              <w:rPr>
                <w:rFonts w:ascii="Aptos" w:hAnsi="Aptos"/>
                <w:b w:val="0"/>
                <w:color w:val="222222"/>
                <w:sz w:val="16"/>
              </w:rPr>
              <w:t>Pond geometry</w:t>
            </w:r>
          </w:p>
        </w:tc>
        <w:tc>
          <w:tcPr>
            <w:tcW w:type="dxa" w:w="2880"/>
            <w:vAlign w:val="center"/>
          </w:tcPr>
          <w:p>
            <w:pPr>
              <w:spacing w:after="0"/>
            </w:pPr>
            <w:r/>
            <w:r>
              <w:rPr>
                <w:rFonts w:ascii="Aptos" w:hAnsi="Aptos"/>
                <w:b w:val="0"/>
                <w:color w:val="222222"/>
                <w:sz w:val="16"/>
              </w:rPr>
              <w:t>Pond area</w:t>
            </w:r>
          </w:p>
        </w:tc>
        <w:tc>
          <w:tcPr>
            <w:tcW w:type="dxa" w:w="1584"/>
            <w:vAlign w:val="center"/>
          </w:tcPr>
          <w:p>
            <w:pPr>
              <w:spacing w:after="0"/>
            </w:pPr>
            <w:r/>
            <w:r>
              <w:rPr>
                <w:rFonts w:ascii="Aptos" w:hAnsi="Aptos"/>
                <w:b w:val="0"/>
                <w:color w:val="222222"/>
                <w:sz w:val="16"/>
              </w:rPr>
              <w:t>ha</w:t>
            </w:r>
          </w:p>
        </w:tc>
        <w:tc>
          <w:tcPr>
            <w:tcW w:type="dxa" w:w="1656"/>
            <w:vAlign w:val="center"/>
          </w:tcPr>
          <w:p>
            <w:pPr>
              <w:spacing w:after="0"/>
            </w:pPr>
            <w:r/>
            <w:r>
              <w:rPr>
                <w:rFonts w:ascii="Aptos" w:hAnsi="Aptos"/>
                <w:b w:val="0"/>
                <w:color w:val="222222"/>
                <w:sz w:val="16"/>
              </w:rPr>
              <w:t>Once per crop unless changed</w:t>
            </w:r>
          </w:p>
        </w:tc>
        <w:tc>
          <w:tcPr>
            <w:tcW w:type="dxa" w:w="2880"/>
            <w:vAlign w:val="center"/>
          </w:tcPr>
          <w:p>
            <w:pPr>
              <w:spacing w:after="0"/>
            </w:pPr>
            <w:r/>
            <w:r>
              <w:rPr>
                <w:rFonts w:ascii="Aptos" w:hAnsi="Aptos"/>
                <w:b w:val="0"/>
                <w:color w:val="222222"/>
                <w:sz w:val="16"/>
              </w:rPr>
              <w:t>Survey / GIS / farm record</w:t>
            </w:r>
          </w:p>
        </w:tc>
      </w:tr>
      <w:tr>
        <w:tc>
          <w:tcPr>
            <w:tcW w:type="dxa" w:w="1656"/>
            <w:vAlign w:val="center"/>
          </w:tcPr>
          <w:p>
            <w:pPr>
              <w:spacing w:after="0"/>
            </w:pPr>
            <w:r>
              <w:rPr>
                <w:b/>
              </w:rPr>
            </w:r>
            <w:r>
              <w:rPr>
                <w:rFonts w:ascii="Aptos" w:hAnsi="Aptos"/>
                <w:b w:val="0"/>
                <w:color w:val="222222"/>
                <w:sz w:val="16"/>
              </w:rPr>
              <w:t>Crop dates</w:t>
            </w:r>
          </w:p>
        </w:tc>
        <w:tc>
          <w:tcPr>
            <w:tcW w:type="dxa" w:w="2880"/>
            <w:vAlign w:val="center"/>
          </w:tcPr>
          <w:p>
            <w:pPr>
              <w:spacing w:after="0"/>
            </w:pPr>
            <w:r/>
            <w:r>
              <w:rPr>
                <w:rFonts w:ascii="Aptos" w:hAnsi="Aptos"/>
                <w:b w:val="0"/>
                <w:color w:val="222222"/>
                <w:sz w:val="16"/>
              </w:rPr>
              <w:t>Stocking date</w:t>
            </w:r>
          </w:p>
        </w:tc>
        <w:tc>
          <w:tcPr>
            <w:tcW w:type="dxa" w:w="1584"/>
            <w:vAlign w:val="center"/>
          </w:tcPr>
          <w:p>
            <w:pPr>
              <w:spacing w:after="0"/>
            </w:pPr>
            <w:r/>
            <w:r>
              <w:rPr>
                <w:rFonts w:ascii="Aptos" w:hAnsi="Aptos"/>
                <w:b w:val="0"/>
                <w:color w:val="222222"/>
                <w:sz w:val="16"/>
              </w:rPr>
              <w:t>Date</w:t>
            </w:r>
          </w:p>
        </w:tc>
        <w:tc>
          <w:tcPr>
            <w:tcW w:type="dxa" w:w="1656"/>
            <w:vAlign w:val="center"/>
          </w:tcPr>
          <w:p>
            <w:pPr>
              <w:spacing w:after="0"/>
            </w:pPr>
            <w:r/>
            <w:r>
              <w:rPr>
                <w:rFonts w:ascii="Aptos" w:hAnsi="Aptos"/>
                <w:b w:val="0"/>
                <w:color w:val="222222"/>
                <w:sz w:val="16"/>
              </w:rPr>
              <w:t>Once</w:t>
            </w:r>
          </w:p>
        </w:tc>
        <w:tc>
          <w:tcPr>
            <w:tcW w:type="dxa" w:w="2880"/>
            <w:vAlign w:val="center"/>
          </w:tcPr>
          <w:p>
            <w:pPr>
              <w:spacing w:after="0"/>
            </w:pPr>
            <w:r/>
            <w:r>
              <w:rPr>
                <w:rFonts w:ascii="Aptos" w:hAnsi="Aptos"/>
                <w:b w:val="0"/>
                <w:color w:val="222222"/>
                <w:sz w:val="16"/>
              </w:rPr>
              <w:t>Stocking register</w:t>
            </w:r>
          </w:p>
        </w:tc>
      </w:tr>
      <w:tr>
        <w:tc>
          <w:tcPr>
            <w:tcW w:type="dxa" w:w="1656"/>
            <w:vAlign w:val="center"/>
          </w:tcPr>
          <w:p>
            <w:pPr>
              <w:spacing w:after="0"/>
            </w:pPr>
            <w:r>
              <w:rPr>
                <w:b/>
              </w:rPr>
            </w:r>
            <w:r>
              <w:rPr>
                <w:rFonts w:ascii="Aptos" w:hAnsi="Aptos"/>
                <w:b w:val="0"/>
                <w:color w:val="222222"/>
                <w:sz w:val="16"/>
              </w:rPr>
              <w:t>Crop dates</w:t>
            </w:r>
          </w:p>
        </w:tc>
        <w:tc>
          <w:tcPr>
            <w:tcW w:type="dxa" w:w="2880"/>
            <w:vAlign w:val="center"/>
          </w:tcPr>
          <w:p>
            <w:pPr>
              <w:spacing w:after="0"/>
            </w:pPr>
            <w:r/>
            <w:r>
              <w:rPr>
                <w:rFonts w:ascii="Aptos" w:hAnsi="Aptos"/>
                <w:b w:val="0"/>
                <w:color w:val="222222"/>
                <w:sz w:val="16"/>
              </w:rPr>
              <w:t>Planned harvest date</w:t>
            </w:r>
          </w:p>
        </w:tc>
        <w:tc>
          <w:tcPr>
            <w:tcW w:type="dxa" w:w="1584"/>
            <w:vAlign w:val="center"/>
          </w:tcPr>
          <w:p>
            <w:pPr>
              <w:spacing w:after="0"/>
            </w:pPr>
            <w:r/>
            <w:r>
              <w:rPr>
                <w:rFonts w:ascii="Aptos" w:hAnsi="Aptos"/>
                <w:b w:val="0"/>
                <w:color w:val="222222"/>
                <w:sz w:val="16"/>
              </w:rPr>
              <w:t>Date</w:t>
            </w:r>
          </w:p>
        </w:tc>
        <w:tc>
          <w:tcPr>
            <w:tcW w:type="dxa" w:w="1656"/>
            <w:vAlign w:val="center"/>
          </w:tcPr>
          <w:p>
            <w:pPr>
              <w:spacing w:after="0"/>
            </w:pPr>
            <w:r/>
            <w:r>
              <w:rPr>
                <w:rFonts w:ascii="Aptos" w:hAnsi="Aptos"/>
                <w:b w:val="0"/>
                <w:color w:val="222222"/>
                <w:sz w:val="16"/>
              </w:rPr>
              <w:t>Once; update if changed</w:t>
            </w:r>
          </w:p>
        </w:tc>
        <w:tc>
          <w:tcPr>
            <w:tcW w:type="dxa" w:w="2880"/>
            <w:vAlign w:val="center"/>
          </w:tcPr>
          <w:p>
            <w:pPr>
              <w:spacing w:after="0"/>
            </w:pPr>
            <w:r/>
            <w:r>
              <w:rPr>
                <w:rFonts w:ascii="Aptos" w:hAnsi="Aptos"/>
                <w:b w:val="0"/>
                <w:color w:val="222222"/>
                <w:sz w:val="16"/>
              </w:rPr>
              <w:t>Farm plan</w:t>
            </w:r>
          </w:p>
        </w:tc>
      </w:tr>
      <w:tr>
        <w:tc>
          <w:tcPr>
            <w:tcW w:type="dxa" w:w="1656"/>
            <w:vAlign w:val="center"/>
          </w:tcPr>
          <w:p>
            <w:pPr>
              <w:spacing w:after="0"/>
            </w:pPr>
            <w:r>
              <w:rPr>
                <w:b/>
              </w:rPr>
            </w:r>
            <w:r>
              <w:rPr>
                <w:rFonts w:ascii="Aptos" w:hAnsi="Aptos"/>
                <w:b w:val="0"/>
                <w:color w:val="222222"/>
                <w:sz w:val="16"/>
              </w:rPr>
              <w:t>Soil baseline</w:t>
            </w:r>
          </w:p>
        </w:tc>
        <w:tc>
          <w:tcPr>
            <w:tcW w:type="dxa" w:w="2880"/>
            <w:vAlign w:val="center"/>
          </w:tcPr>
          <w:p>
            <w:pPr>
              <w:spacing w:after="0"/>
            </w:pPr>
            <w:r/>
            <w:r>
              <w:rPr>
                <w:rFonts w:ascii="Aptos" w:hAnsi="Aptos"/>
                <w:b w:val="0"/>
                <w:color w:val="222222"/>
                <w:sz w:val="16"/>
              </w:rPr>
              <w:t>Pre-stocking SOC</w:t>
            </w:r>
          </w:p>
        </w:tc>
        <w:tc>
          <w:tcPr>
            <w:tcW w:type="dxa" w:w="1584"/>
            <w:vAlign w:val="center"/>
          </w:tcPr>
          <w:p>
            <w:pPr>
              <w:spacing w:after="0"/>
            </w:pPr>
            <w:r/>
            <w:r>
              <w:rPr>
                <w:rFonts w:ascii="Aptos" w:hAnsi="Aptos"/>
                <w:b w:val="0"/>
                <w:color w:val="222222"/>
                <w:sz w:val="16"/>
              </w:rPr>
              <w:t>%</w:t>
            </w:r>
          </w:p>
        </w:tc>
        <w:tc>
          <w:tcPr>
            <w:tcW w:type="dxa" w:w="1656"/>
            <w:vAlign w:val="center"/>
          </w:tcPr>
          <w:p>
            <w:pPr>
              <w:spacing w:after="0"/>
            </w:pPr>
            <w:r/>
            <w:r>
              <w:rPr>
                <w:rFonts w:ascii="Aptos" w:hAnsi="Aptos"/>
                <w:b w:val="0"/>
                <w:color w:val="222222"/>
                <w:sz w:val="16"/>
              </w:rPr>
              <w:t>Pre-stocking</w:t>
            </w:r>
          </w:p>
        </w:tc>
        <w:tc>
          <w:tcPr>
            <w:tcW w:type="dxa" w:w="2880"/>
            <w:vAlign w:val="center"/>
          </w:tcPr>
          <w:p>
            <w:pPr>
              <w:spacing w:after="0"/>
            </w:pPr>
            <w:r/>
            <w:r>
              <w:rPr>
                <w:rFonts w:ascii="Aptos" w:hAnsi="Aptos"/>
                <w:b w:val="0"/>
                <w:color w:val="222222"/>
                <w:sz w:val="16"/>
              </w:rPr>
              <w:t>Laboratory report / sample ID</w:t>
            </w:r>
          </w:p>
        </w:tc>
      </w:tr>
      <w:tr>
        <w:tc>
          <w:tcPr>
            <w:tcW w:type="dxa" w:w="1656"/>
            <w:vAlign w:val="center"/>
          </w:tcPr>
          <w:p>
            <w:pPr>
              <w:spacing w:after="0"/>
            </w:pPr>
            <w:r>
              <w:rPr>
                <w:b/>
              </w:rPr>
            </w:r>
            <w:r>
              <w:rPr>
                <w:rFonts w:ascii="Aptos" w:hAnsi="Aptos"/>
                <w:b w:val="0"/>
                <w:color w:val="222222"/>
                <w:sz w:val="16"/>
              </w:rPr>
              <w:t>Soil baseline</w:t>
            </w:r>
          </w:p>
        </w:tc>
        <w:tc>
          <w:tcPr>
            <w:tcW w:type="dxa" w:w="2880"/>
            <w:vAlign w:val="center"/>
          </w:tcPr>
          <w:p>
            <w:pPr>
              <w:spacing w:after="0"/>
            </w:pPr>
            <w:r/>
            <w:r>
              <w:rPr>
                <w:rFonts w:ascii="Aptos" w:hAnsi="Aptos"/>
                <w:b w:val="0"/>
                <w:color w:val="222222"/>
                <w:sz w:val="16"/>
              </w:rPr>
              <w:t>Total soil nitrogen</w:t>
            </w:r>
          </w:p>
        </w:tc>
        <w:tc>
          <w:tcPr>
            <w:tcW w:type="dxa" w:w="1584"/>
            <w:vAlign w:val="center"/>
          </w:tcPr>
          <w:p>
            <w:pPr>
              <w:spacing w:after="0"/>
            </w:pPr>
            <w:r/>
            <w:r>
              <w:rPr>
                <w:rFonts w:ascii="Aptos" w:hAnsi="Aptos"/>
                <w:b w:val="0"/>
                <w:color w:val="222222"/>
                <w:sz w:val="16"/>
              </w:rPr>
              <w:t>%</w:t>
            </w:r>
          </w:p>
        </w:tc>
        <w:tc>
          <w:tcPr>
            <w:tcW w:type="dxa" w:w="1656"/>
            <w:vAlign w:val="center"/>
          </w:tcPr>
          <w:p>
            <w:pPr>
              <w:spacing w:after="0"/>
            </w:pPr>
            <w:r/>
            <w:r>
              <w:rPr>
                <w:rFonts w:ascii="Aptos" w:hAnsi="Aptos"/>
                <w:b w:val="0"/>
                <w:color w:val="222222"/>
                <w:sz w:val="16"/>
              </w:rPr>
              <w:t>Pre-stocking</w:t>
            </w:r>
          </w:p>
        </w:tc>
        <w:tc>
          <w:tcPr>
            <w:tcW w:type="dxa" w:w="2880"/>
            <w:vAlign w:val="center"/>
          </w:tcPr>
          <w:p>
            <w:pPr>
              <w:spacing w:after="0"/>
            </w:pPr>
            <w:r/>
            <w:r>
              <w:rPr>
                <w:rFonts w:ascii="Aptos" w:hAnsi="Aptos"/>
                <w:b w:val="0"/>
                <w:color w:val="222222"/>
                <w:sz w:val="16"/>
              </w:rPr>
              <w:t>Laboratory report</w:t>
            </w:r>
          </w:p>
        </w:tc>
      </w:tr>
      <w:tr>
        <w:tc>
          <w:tcPr>
            <w:tcW w:type="dxa" w:w="1656"/>
            <w:vAlign w:val="center"/>
          </w:tcPr>
          <w:p>
            <w:pPr>
              <w:spacing w:after="0"/>
            </w:pPr>
            <w:r>
              <w:rPr>
                <w:b/>
              </w:rPr>
            </w:r>
            <w:r>
              <w:rPr>
                <w:rFonts w:ascii="Aptos" w:hAnsi="Aptos"/>
                <w:b w:val="0"/>
                <w:color w:val="222222"/>
                <w:sz w:val="16"/>
              </w:rPr>
              <w:t>Soil baseline</w:t>
            </w:r>
          </w:p>
        </w:tc>
        <w:tc>
          <w:tcPr>
            <w:tcW w:type="dxa" w:w="2880"/>
            <w:vAlign w:val="center"/>
          </w:tcPr>
          <w:p>
            <w:pPr>
              <w:spacing w:after="0"/>
            </w:pPr>
            <w:r/>
            <w:r>
              <w:rPr>
                <w:rFonts w:ascii="Aptos" w:hAnsi="Aptos"/>
                <w:b w:val="0"/>
                <w:color w:val="222222"/>
                <w:sz w:val="16"/>
              </w:rPr>
              <w:t>Soil C:N ratio</w:t>
            </w:r>
          </w:p>
        </w:tc>
        <w:tc>
          <w:tcPr>
            <w:tcW w:type="dxa" w:w="1584"/>
            <w:vAlign w:val="center"/>
          </w:tcPr>
          <w:p>
            <w:pPr>
              <w:spacing w:after="0"/>
            </w:pPr>
            <w:r/>
            <w:r>
              <w:rPr>
                <w:rFonts w:ascii="Aptos" w:hAnsi="Aptos"/>
                <w:b w:val="0"/>
                <w:color w:val="222222"/>
                <w:sz w:val="16"/>
              </w:rPr>
              <w:t>ratio</w:t>
            </w:r>
          </w:p>
        </w:tc>
        <w:tc>
          <w:tcPr>
            <w:tcW w:type="dxa" w:w="1656"/>
            <w:vAlign w:val="center"/>
          </w:tcPr>
          <w:p>
            <w:pPr>
              <w:spacing w:after="0"/>
            </w:pPr>
            <w:r/>
            <w:r>
              <w:rPr>
                <w:rFonts w:ascii="Aptos" w:hAnsi="Aptos"/>
                <w:b w:val="0"/>
                <w:color w:val="222222"/>
                <w:sz w:val="16"/>
              </w:rPr>
              <w:t>Pre-stocking</w:t>
            </w:r>
          </w:p>
        </w:tc>
        <w:tc>
          <w:tcPr>
            <w:tcW w:type="dxa" w:w="2880"/>
            <w:vAlign w:val="center"/>
          </w:tcPr>
          <w:p>
            <w:pPr>
              <w:spacing w:after="0"/>
            </w:pPr>
            <w:r/>
            <w:r>
              <w:rPr>
                <w:rFonts w:ascii="Aptos" w:hAnsi="Aptos"/>
                <w:b w:val="0"/>
                <w:color w:val="222222"/>
                <w:sz w:val="16"/>
              </w:rPr>
              <w:t>Laboratory report or calculated result</w:t>
            </w:r>
          </w:p>
        </w:tc>
      </w:tr>
      <w:tr>
        <w:tc>
          <w:tcPr>
            <w:tcW w:type="dxa" w:w="1656"/>
            <w:vAlign w:val="center"/>
          </w:tcPr>
          <w:p>
            <w:pPr>
              <w:spacing w:after="0"/>
            </w:pPr>
            <w:r>
              <w:rPr>
                <w:b/>
              </w:rPr>
            </w:r>
            <w:r>
              <w:rPr>
                <w:rFonts w:ascii="Aptos" w:hAnsi="Aptos"/>
                <w:b w:val="0"/>
                <w:color w:val="222222"/>
                <w:sz w:val="16"/>
              </w:rPr>
              <w:t>Soil baseline</w:t>
            </w:r>
          </w:p>
        </w:tc>
        <w:tc>
          <w:tcPr>
            <w:tcW w:type="dxa" w:w="2880"/>
            <w:vAlign w:val="center"/>
          </w:tcPr>
          <w:p>
            <w:pPr>
              <w:spacing w:after="0"/>
            </w:pPr>
            <w:r/>
            <w:r>
              <w:rPr>
                <w:rFonts w:ascii="Aptos" w:hAnsi="Aptos"/>
                <w:b w:val="0"/>
                <w:color w:val="222222"/>
                <w:sz w:val="16"/>
              </w:rPr>
              <w:t>Bulk density</w:t>
            </w:r>
          </w:p>
        </w:tc>
        <w:tc>
          <w:tcPr>
            <w:tcW w:type="dxa" w:w="1584"/>
            <w:vAlign w:val="center"/>
          </w:tcPr>
          <w:p>
            <w:pPr>
              <w:spacing w:after="0"/>
            </w:pPr>
            <w:r/>
            <w:r>
              <w:rPr>
                <w:rFonts w:ascii="Aptos" w:hAnsi="Aptos"/>
                <w:b w:val="0"/>
                <w:color w:val="222222"/>
                <w:sz w:val="16"/>
              </w:rPr>
              <w:t>g/cm³ or t/m³</w:t>
            </w:r>
          </w:p>
        </w:tc>
        <w:tc>
          <w:tcPr>
            <w:tcW w:type="dxa" w:w="1656"/>
            <w:vAlign w:val="center"/>
          </w:tcPr>
          <w:p>
            <w:pPr>
              <w:spacing w:after="0"/>
            </w:pPr>
            <w:r/>
            <w:r>
              <w:rPr>
                <w:rFonts w:ascii="Aptos" w:hAnsi="Aptos"/>
                <w:b w:val="0"/>
                <w:color w:val="222222"/>
                <w:sz w:val="16"/>
              </w:rPr>
              <w:t>Pre-stocking</w:t>
            </w:r>
          </w:p>
        </w:tc>
        <w:tc>
          <w:tcPr>
            <w:tcW w:type="dxa" w:w="2880"/>
            <w:vAlign w:val="center"/>
          </w:tcPr>
          <w:p>
            <w:pPr>
              <w:spacing w:after="0"/>
            </w:pPr>
            <w:r/>
            <w:r>
              <w:rPr>
                <w:rFonts w:ascii="Aptos" w:hAnsi="Aptos"/>
                <w:b w:val="0"/>
                <w:color w:val="222222"/>
                <w:sz w:val="16"/>
              </w:rPr>
              <w:t>Laboratory / field core measurement</w:t>
            </w:r>
          </w:p>
        </w:tc>
      </w:tr>
      <w:tr>
        <w:tc>
          <w:tcPr>
            <w:tcW w:type="dxa" w:w="1656"/>
            <w:vAlign w:val="center"/>
          </w:tcPr>
          <w:p>
            <w:pPr>
              <w:spacing w:after="0"/>
            </w:pPr>
            <w:r>
              <w:rPr>
                <w:b/>
              </w:rPr>
            </w:r>
            <w:r>
              <w:rPr>
                <w:rFonts w:ascii="Aptos" w:hAnsi="Aptos"/>
                <w:b w:val="0"/>
                <w:color w:val="222222"/>
                <w:sz w:val="16"/>
              </w:rPr>
              <w:t>Soil baseline</w:t>
            </w:r>
          </w:p>
        </w:tc>
        <w:tc>
          <w:tcPr>
            <w:tcW w:type="dxa" w:w="2880"/>
            <w:vAlign w:val="center"/>
          </w:tcPr>
          <w:p>
            <w:pPr>
              <w:spacing w:after="0"/>
            </w:pPr>
            <w:r/>
            <w:r>
              <w:rPr>
                <w:rFonts w:ascii="Aptos" w:hAnsi="Aptos"/>
                <w:b w:val="0"/>
                <w:color w:val="222222"/>
                <w:sz w:val="16"/>
              </w:rPr>
              <w:t>Sampling depth</w:t>
            </w:r>
          </w:p>
        </w:tc>
        <w:tc>
          <w:tcPr>
            <w:tcW w:type="dxa" w:w="1584"/>
            <w:vAlign w:val="center"/>
          </w:tcPr>
          <w:p>
            <w:pPr>
              <w:spacing w:after="0"/>
            </w:pPr>
            <w:r/>
            <w:r>
              <w:rPr>
                <w:rFonts w:ascii="Aptos" w:hAnsi="Aptos"/>
                <w:b w:val="0"/>
                <w:color w:val="222222"/>
                <w:sz w:val="16"/>
              </w:rPr>
              <w:t>m</w:t>
            </w:r>
          </w:p>
        </w:tc>
        <w:tc>
          <w:tcPr>
            <w:tcW w:type="dxa" w:w="1656"/>
            <w:vAlign w:val="center"/>
          </w:tcPr>
          <w:p>
            <w:pPr>
              <w:spacing w:after="0"/>
            </w:pPr>
            <w:r/>
            <w:r>
              <w:rPr>
                <w:rFonts w:ascii="Aptos" w:hAnsi="Aptos"/>
                <w:b w:val="0"/>
                <w:color w:val="222222"/>
                <w:sz w:val="16"/>
              </w:rPr>
              <w:t>Pre-stocking</w:t>
            </w:r>
          </w:p>
        </w:tc>
        <w:tc>
          <w:tcPr>
            <w:tcW w:type="dxa" w:w="2880"/>
            <w:vAlign w:val="center"/>
          </w:tcPr>
          <w:p>
            <w:pPr>
              <w:spacing w:after="0"/>
            </w:pPr>
            <w:r/>
            <w:r>
              <w:rPr>
                <w:rFonts w:ascii="Aptos" w:hAnsi="Aptos"/>
                <w:b w:val="0"/>
                <w:color w:val="222222"/>
                <w:sz w:val="16"/>
              </w:rPr>
              <w:t>Sampling sheet</w:t>
            </w:r>
          </w:p>
        </w:tc>
      </w:tr>
      <w:tr>
        <w:tc>
          <w:tcPr>
            <w:tcW w:type="dxa" w:w="1656"/>
            <w:vAlign w:val="center"/>
          </w:tcPr>
          <w:p>
            <w:pPr>
              <w:spacing w:after="0"/>
            </w:pPr>
            <w:r>
              <w:rPr>
                <w:b/>
              </w:rPr>
            </w:r>
            <w:r>
              <w:rPr>
                <w:rFonts w:ascii="Aptos" w:hAnsi="Aptos"/>
                <w:b w:val="0"/>
                <w:color w:val="222222"/>
                <w:sz w:val="16"/>
              </w:rPr>
              <w:t>Water baseline</w:t>
            </w:r>
          </w:p>
        </w:tc>
        <w:tc>
          <w:tcPr>
            <w:tcW w:type="dxa" w:w="2880"/>
            <w:vAlign w:val="center"/>
          </w:tcPr>
          <w:p>
            <w:pPr>
              <w:spacing w:after="0"/>
            </w:pPr>
            <w:r/>
            <w:r>
              <w:rPr>
                <w:rFonts w:ascii="Aptos" w:hAnsi="Aptos"/>
                <w:b w:val="0"/>
                <w:color w:val="222222"/>
                <w:sz w:val="16"/>
              </w:rPr>
              <w:t>pH</w:t>
            </w:r>
          </w:p>
        </w:tc>
        <w:tc>
          <w:tcPr>
            <w:tcW w:type="dxa" w:w="1584"/>
            <w:vAlign w:val="center"/>
          </w:tcPr>
          <w:p>
            <w:pPr>
              <w:spacing w:after="0"/>
            </w:pPr>
            <w:r/>
            <w:r>
              <w:rPr>
                <w:rFonts w:ascii="Aptos" w:hAnsi="Aptos"/>
                <w:b w:val="0"/>
                <w:color w:val="222222"/>
                <w:sz w:val="16"/>
              </w:rPr>
              <w:t>pH units</w:t>
            </w:r>
          </w:p>
        </w:tc>
        <w:tc>
          <w:tcPr>
            <w:tcW w:type="dxa" w:w="1656"/>
            <w:vAlign w:val="center"/>
          </w:tcPr>
          <w:p>
            <w:pPr>
              <w:spacing w:after="0"/>
            </w:pPr>
            <w:r/>
            <w:r>
              <w:rPr>
                <w:rFonts w:ascii="Aptos" w:hAnsi="Aptos"/>
                <w:b w:val="0"/>
                <w:color w:val="222222"/>
                <w:sz w:val="16"/>
              </w:rPr>
              <w:t>Baseline</w:t>
            </w:r>
          </w:p>
        </w:tc>
        <w:tc>
          <w:tcPr>
            <w:tcW w:type="dxa" w:w="2880"/>
            <w:vAlign w:val="center"/>
          </w:tcPr>
          <w:p>
            <w:pPr>
              <w:spacing w:after="0"/>
            </w:pPr>
            <w:r/>
            <w:r>
              <w:rPr>
                <w:rFonts w:ascii="Aptos" w:hAnsi="Aptos"/>
                <w:b w:val="0"/>
                <w:color w:val="222222"/>
                <w:sz w:val="16"/>
              </w:rPr>
              <w:t>Field meter / lab</w:t>
            </w:r>
          </w:p>
        </w:tc>
      </w:tr>
      <w:tr>
        <w:tc>
          <w:tcPr>
            <w:tcW w:type="dxa" w:w="1656"/>
            <w:vAlign w:val="center"/>
          </w:tcPr>
          <w:p>
            <w:pPr>
              <w:spacing w:after="0"/>
            </w:pPr>
            <w:r>
              <w:rPr>
                <w:b/>
              </w:rPr>
            </w:r>
            <w:r>
              <w:rPr>
                <w:rFonts w:ascii="Aptos" w:hAnsi="Aptos"/>
                <w:b w:val="0"/>
                <w:color w:val="222222"/>
                <w:sz w:val="16"/>
              </w:rPr>
              <w:t>Water baseline</w:t>
            </w:r>
          </w:p>
        </w:tc>
        <w:tc>
          <w:tcPr>
            <w:tcW w:type="dxa" w:w="2880"/>
            <w:vAlign w:val="center"/>
          </w:tcPr>
          <w:p>
            <w:pPr>
              <w:spacing w:after="0"/>
            </w:pPr>
            <w:r/>
            <w:r>
              <w:rPr>
                <w:rFonts w:ascii="Aptos" w:hAnsi="Aptos"/>
                <w:b w:val="0"/>
                <w:color w:val="222222"/>
                <w:sz w:val="16"/>
              </w:rPr>
              <w:t>Pre-dawn DO</w:t>
            </w:r>
          </w:p>
        </w:tc>
        <w:tc>
          <w:tcPr>
            <w:tcW w:type="dxa" w:w="1584"/>
            <w:vAlign w:val="center"/>
          </w:tcPr>
          <w:p>
            <w:pPr>
              <w:spacing w:after="0"/>
            </w:pPr>
            <w:r/>
            <w:r>
              <w:rPr>
                <w:rFonts w:ascii="Aptos" w:hAnsi="Aptos"/>
                <w:b w:val="0"/>
                <w:color w:val="222222"/>
                <w:sz w:val="16"/>
              </w:rPr>
              <w:t>mg/L</w:t>
            </w:r>
          </w:p>
        </w:tc>
        <w:tc>
          <w:tcPr>
            <w:tcW w:type="dxa" w:w="1656"/>
            <w:vAlign w:val="center"/>
          </w:tcPr>
          <w:p>
            <w:pPr>
              <w:spacing w:after="0"/>
            </w:pPr>
            <w:r/>
            <w:r>
              <w:rPr>
                <w:rFonts w:ascii="Aptos" w:hAnsi="Aptos"/>
                <w:b w:val="0"/>
                <w:color w:val="222222"/>
                <w:sz w:val="16"/>
              </w:rPr>
              <w:t>Baseline</w:t>
            </w:r>
          </w:p>
        </w:tc>
        <w:tc>
          <w:tcPr>
            <w:tcW w:type="dxa" w:w="2880"/>
            <w:vAlign w:val="center"/>
          </w:tcPr>
          <w:p>
            <w:pPr>
              <w:spacing w:after="0"/>
            </w:pPr>
            <w:r/>
            <w:r>
              <w:rPr>
                <w:rFonts w:ascii="Aptos" w:hAnsi="Aptos"/>
                <w:b w:val="0"/>
                <w:color w:val="222222"/>
                <w:sz w:val="16"/>
              </w:rPr>
              <w:t>Calibrated DO meter</w:t>
            </w:r>
          </w:p>
        </w:tc>
      </w:tr>
      <w:tr>
        <w:tc>
          <w:tcPr>
            <w:tcW w:type="dxa" w:w="1656"/>
            <w:vAlign w:val="center"/>
          </w:tcPr>
          <w:p>
            <w:pPr>
              <w:spacing w:after="0"/>
            </w:pPr>
            <w:r>
              <w:rPr>
                <w:b/>
              </w:rPr>
            </w:r>
            <w:r>
              <w:rPr>
                <w:rFonts w:ascii="Aptos" w:hAnsi="Aptos"/>
                <w:b w:val="0"/>
                <w:color w:val="222222"/>
                <w:sz w:val="16"/>
              </w:rPr>
              <w:t>Water baseline</w:t>
            </w:r>
          </w:p>
        </w:tc>
        <w:tc>
          <w:tcPr>
            <w:tcW w:type="dxa" w:w="2880"/>
            <w:vAlign w:val="center"/>
          </w:tcPr>
          <w:p>
            <w:pPr>
              <w:spacing w:after="0"/>
            </w:pPr>
            <w:r/>
            <w:r>
              <w:rPr>
                <w:rFonts w:ascii="Aptos" w:hAnsi="Aptos"/>
                <w:b w:val="0"/>
                <w:color w:val="222222"/>
                <w:sz w:val="16"/>
              </w:rPr>
              <w:t>TAN</w:t>
            </w:r>
          </w:p>
        </w:tc>
        <w:tc>
          <w:tcPr>
            <w:tcW w:type="dxa" w:w="1584"/>
            <w:vAlign w:val="center"/>
          </w:tcPr>
          <w:p>
            <w:pPr>
              <w:spacing w:after="0"/>
            </w:pPr>
            <w:r/>
            <w:r>
              <w:rPr>
                <w:rFonts w:ascii="Aptos" w:hAnsi="Aptos"/>
                <w:b w:val="0"/>
                <w:color w:val="222222"/>
                <w:sz w:val="16"/>
              </w:rPr>
              <w:t>mg/L</w:t>
            </w:r>
          </w:p>
        </w:tc>
        <w:tc>
          <w:tcPr>
            <w:tcW w:type="dxa" w:w="1656"/>
            <w:vAlign w:val="center"/>
          </w:tcPr>
          <w:p>
            <w:pPr>
              <w:spacing w:after="0"/>
            </w:pPr>
            <w:r/>
            <w:r>
              <w:rPr>
                <w:rFonts w:ascii="Aptos" w:hAnsi="Aptos"/>
                <w:b w:val="0"/>
                <w:color w:val="222222"/>
                <w:sz w:val="16"/>
              </w:rPr>
              <w:t>Baseline</w:t>
            </w:r>
          </w:p>
        </w:tc>
        <w:tc>
          <w:tcPr>
            <w:tcW w:type="dxa" w:w="2880"/>
            <w:vAlign w:val="center"/>
          </w:tcPr>
          <w:p>
            <w:pPr>
              <w:spacing w:after="0"/>
            </w:pPr>
            <w:r/>
            <w:r>
              <w:rPr>
                <w:rFonts w:ascii="Aptos" w:hAnsi="Aptos"/>
                <w:b w:val="0"/>
                <w:color w:val="222222"/>
                <w:sz w:val="16"/>
              </w:rPr>
              <w:t>Lab / validated field kit</w:t>
            </w:r>
          </w:p>
        </w:tc>
      </w:tr>
      <w:tr>
        <w:tc>
          <w:tcPr>
            <w:tcW w:type="dxa" w:w="1656"/>
            <w:vAlign w:val="center"/>
          </w:tcPr>
          <w:p>
            <w:pPr>
              <w:spacing w:after="0"/>
            </w:pPr>
            <w:r>
              <w:rPr>
                <w:b/>
              </w:rPr>
            </w:r>
            <w:r>
              <w:rPr>
                <w:rFonts w:ascii="Aptos" w:hAnsi="Aptos"/>
                <w:b w:val="0"/>
                <w:color w:val="222222"/>
                <w:sz w:val="16"/>
              </w:rPr>
              <w:t>Water baseline</w:t>
            </w:r>
          </w:p>
        </w:tc>
        <w:tc>
          <w:tcPr>
            <w:tcW w:type="dxa" w:w="2880"/>
            <w:vAlign w:val="center"/>
          </w:tcPr>
          <w:p>
            <w:pPr>
              <w:spacing w:after="0"/>
            </w:pPr>
            <w:r/>
            <w:r>
              <w:rPr>
                <w:rFonts w:ascii="Aptos" w:hAnsi="Aptos"/>
                <w:b w:val="0"/>
                <w:color w:val="222222"/>
                <w:sz w:val="16"/>
              </w:rPr>
              <w:t>H₂S</w:t>
            </w:r>
          </w:p>
        </w:tc>
        <w:tc>
          <w:tcPr>
            <w:tcW w:type="dxa" w:w="1584"/>
            <w:vAlign w:val="center"/>
          </w:tcPr>
          <w:p>
            <w:pPr>
              <w:spacing w:after="0"/>
            </w:pPr>
            <w:r/>
            <w:r>
              <w:rPr>
                <w:rFonts w:ascii="Aptos" w:hAnsi="Aptos"/>
                <w:b w:val="0"/>
                <w:color w:val="222222"/>
                <w:sz w:val="16"/>
              </w:rPr>
              <w:t>Nil / Detected</w:t>
            </w:r>
          </w:p>
        </w:tc>
        <w:tc>
          <w:tcPr>
            <w:tcW w:type="dxa" w:w="1656"/>
            <w:vAlign w:val="center"/>
          </w:tcPr>
          <w:p>
            <w:pPr>
              <w:spacing w:after="0"/>
            </w:pPr>
            <w:r/>
            <w:r>
              <w:rPr>
                <w:rFonts w:ascii="Aptos" w:hAnsi="Aptos"/>
                <w:b w:val="0"/>
                <w:color w:val="222222"/>
                <w:sz w:val="16"/>
              </w:rPr>
              <w:t>Baseline</w:t>
            </w:r>
          </w:p>
        </w:tc>
        <w:tc>
          <w:tcPr>
            <w:tcW w:type="dxa" w:w="2880"/>
            <w:vAlign w:val="center"/>
          </w:tcPr>
          <w:p>
            <w:pPr>
              <w:spacing w:after="0"/>
            </w:pPr>
            <w:r/>
            <w:r>
              <w:rPr>
                <w:rFonts w:ascii="Aptos" w:hAnsi="Aptos"/>
                <w:b w:val="0"/>
                <w:color w:val="222222"/>
                <w:sz w:val="16"/>
              </w:rPr>
              <w:t>Field/lab record</w:t>
            </w:r>
          </w:p>
        </w:tc>
      </w:tr>
      <w:tr>
        <w:tc>
          <w:tcPr>
            <w:tcW w:type="dxa" w:w="1656"/>
            <w:vAlign w:val="center"/>
          </w:tcPr>
          <w:p>
            <w:pPr>
              <w:spacing w:after="0"/>
            </w:pPr>
            <w:r>
              <w:rPr>
                <w:b/>
              </w:rPr>
            </w:r>
            <w:r>
              <w:rPr>
                <w:rFonts w:ascii="Aptos" w:hAnsi="Aptos"/>
                <w:b w:val="0"/>
                <w:color w:val="222222"/>
                <w:sz w:val="16"/>
              </w:rPr>
              <w:t>Stocking</w:t>
            </w:r>
          </w:p>
        </w:tc>
        <w:tc>
          <w:tcPr>
            <w:tcW w:type="dxa" w:w="2880"/>
            <w:vAlign w:val="center"/>
          </w:tcPr>
          <w:p>
            <w:pPr>
              <w:spacing w:after="0"/>
            </w:pPr>
            <w:r/>
            <w:r>
              <w:rPr>
                <w:rFonts w:ascii="Aptos" w:hAnsi="Aptos"/>
                <w:b w:val="0"/>
                <w:color w:val="222222"/>
                <w:sz w:val="16"/>
              </w:rPr>
              <w:t>Species composition</w:t>
            </w:r>
          </w:p>
        </w:tc>
        <w:tc>
          <w:tcPr>
            <w:tcW w:type="dxa" w:w="1584"/>
            <w:vAlign w:val="center"/>
          </w:tcPr>
          <w:p>
            <w:pPr>
              <w:spacing w:after="0"/>
            </w:pPr>
            <w:r/>
            <w:r>
              <w:rPr>
                <w:rFonts w:ascii="Aptos" w:hAnsi="Aptos"/>
                <w:b w:val="0"/>
                <w:color w:val="222222"/>
                <w:sz w:val="16"/>
              </w:rPr>
              <w:t>% / number</w:t>
            </w:r>
          </w:p>
        </w:tc>
        <w:tc>
          <w:tcPr>
            <w:tcW w:type="dxa" w:w="1656"/>
            <w:vAlign w:val="center"/>
          </w:tcPr>
          <w:p>
            <w:pPr>
              <w:spacing w:after="0"/>
            </w:pPr>
            <w:r/>
            <w:r>
              <w:rPr>
                <w:rFonts w:ascii="Aptos" w:hAnsi="Aptos"/>
                <w:b w:val="0"/>
                <w:color w:val="222222"/>
                <w:sz w:val="16"/>
              </w:rPr>
              <w:t>Stocking event</w:t>
            </w:r>
          </w:p>
        </w:tc>
        <w:tc>
          <w:tcPr>
            <w:tcW w:type="dxa" w:w="2880"/>
            <w:vAlign w:val="center"/>
          </w:tcPr>
          <w:p>
            <w:pPr>
              <w:spacing w:after="0"/>
            </w:pPr>
            <w:r/>
            <w:r>
              <w:rPr>
                <w:rFonts w:ascii="Aptos" w:hAnsi="Aptos"/>
                <w:b w:val="0"/>
                <w:color w:val="222222"/>
                <w:sz w:val="16"/>
              </w:rPr>
              <w:t>Stocking invoice/register</w:t>
            </w:r>
          </w:p>
        </w:tc>
      </w:tr>
      <w:tr>
        <w:tc>
          <w:tcPr>
            <w:tcW w:type="dxa" w:w="1656"/>
            <w:vAlign w:val="center"/>
          </w:tcPr>
          <w:p>
            <w:pPr>
              <w:spacing w:after="0"/>
            </w:pPr>
            <w:r>
              <w:rPr>
                <w:b/>
              </w:rPr>
            </w:r>
            <w:r>
              <w:rPr>
                <w:rFonts w:ascii="Aptos" w:hAnsi="Aptos"/>
                <w:b w:val="0"/>
                <w:color w:val="222222"/>
                <w:sz w:val="16"/>
              </w:rPr>
              <w:t>Stocking</w:t>
            </w:r>
          </w:p>
        </w:tc>
        <w:tc>
          <w:tcPr>
            <w:tcW w:type="dxa" w:w="2880"/>
            <w:vAlign w:val="center"/>
          </w:tcPr>
          <w:p>
            <w:pPr>
              <w:spacing w:after="0"/>
            </w:pPr>
            <w:r/>
            <w:r>
              <w:rPr>
                <w:rFonts w:ascii="Aptos" w:hAnsi="Aptos"/>
                <w:b w:val="0"/>
                <w:color w:val="222222"/>
                <w:sz w:val="16"/>
              </w:rPr>
              <w:t>Seed quantity</w:t>
            </w:r>
          </w:p>
        </w:tc>
        <w:tc>
          <w:tcPr>
            <w:tcW w:type="dxa" w:w="1584"/>
            <w:vAlign w:val="center"/>
          </w:tcPr>
          <w:p>
            <w:pPr>
              <w:spacing w:after="0"/>
            </w:pPr>
            <w:r/>
            <w:r>
              <w:rPr>
                <w:rFonts w:ascii="Aptos" w:hAnsi="Aptos"/>
                <w:b w:val="0"/>
                <w:color w:val="222222"/>
                <w:sz w:val="16"/>
              </w:rPr>
              <w:t>number</w:t>
            </w:r>
          </w:p>
        </w:tc>
        <w:tc>
          <w:tcPr>
            <w:tcW w:type="dxa" w:w="1656"/>
            <w:vAlign w:val="center"/>
          </w:tcPr>
          <w:p>
            <w:pPr>
              <w:spacing w:after="0"/>
            </w:pPr>
            <w:r/>
            <w:r>
              <w:rPr>
                <w:rFonts w:ascii="Aptos" w:hAnsi="Aptos"/>
                <w:b w:val="0"/>
                <w:color w:val="222222"/>
                <w:sz w:val="16"/>
              </w:rPr>
              <w:t>Stocking event</w:t>
            </w:r>
          </w:p>
        </w:tc>
        <w:tc>
          <w:tcPr>
            <w:tcW w:type="dxa" w:w="2880"/>
            <w:vAlign w:val="center"/>
          </w:tcPr>
          <w:p>
            <w:pPr>
              <w:spacing w:after="0"/>
            </w:pPr>
            <w:r/>
            <w:r>
              <w:rPr>
                <w:rFonts w:ascii="Aptos" w:hAnsi="Aptos"/>
                <w:b w:val="0"/>
                <w:color w:val="222222"/>
                <w:sz w:val="16"/>
              </w:rPr>
              <w:t>Stocking record</w:t>
            </w:r>
          </w:p>
        </w:tc>
      </w:tr>
      <w:tr>
        <w:tc>
          <w:tcPr>
            <w:tcW w:type="dxa" w:w="1656"/>
            <w:vAlign w:val="center"/>
          </w:tcPr>
          <w:p>
            <w:pPr>
              <w:spacing w:after="0"/>
            </w:pPr>
            <w:r>
              <w:rPr>
                <w:b/>
              </w:rPr>
            </w:r>
            <w:r>
              <w:rPr>
                <w:rFonts w:ascii="Aptos" w:hAnsi="Aptos"/>
                <w:b w:val="0"/>
                <w:color w:val="222222"/>
                <w:sz w:val="16"/>
              </w:rPr>
              <w:t>Stocking</w:t>
            </w:r>
          </w:p>
        </w:tc>
        <w:tc>
          <w:tcPr>
            <w:tcW w:type="dxa" w:w="2880"/>
            <w:vAlign w:val="center"/>
          </w:tcPr>
          <w:p>
            <w:pPr>
              <w:spacing w:after="0"/>
            </w:pPr>
            <w:r/>
            <w:r>
              <w:rPr>
                <w:rFonts w:ascii="Aptos" w:hAnsi="Aptos"/>
                <w:b w:val="0"/>
                <w:color w:val="222222"/>
                <w:sz w:val="16"/>
              </w:rPr>
              <w:t>Average seed weight</w:t>
            </w:r>
          </w:p>
        </w:tc>
        <w:tc>
          <w:tcPr>
            <w:tcW w:type="dxa" w:w="1584"/>
            <w:vAlign w:val="center"/>
          </w:tcPr>
          <w:p>
            <w:pPr>
              <w:spacing w:after="0"/>
            </w:pPr>
            <w:r/>
            <w:r>
              <w:rPr>
                <w:rFonts w:ascii="Aptos" w:hAnsi="Aptos"/>
                <w:b w:val="0"/>
                <w:color w:val="222222"/>
                <w:sz w:val="16"/>
              </w:rPr>
              <w:t>g/fish</w:t>
            </w:r>
          </w:p>
        </w:tc>
        <w:tc>
          <w:tcPr>
            <w:tcW w:type="dxa" w:w="1656"/>
            <w:vAlign w:val="center"/>
          </w:tcPr>
          <w:p>
            <w:pPr>
              <w:spacing w:after="0"/>
            </w:pPr>
            <w:r/>
            <w:r>
              <w:rPr>
                <w:rFonts w:ascii="Aptos" w:hAnsi="Aptos"/>
                <w:b w:val="0"/>
                <w:color w:val="222222"/>
                <w:sz w:val="16"/>
              </w:rPr>
              <w:t>Stocking event</w:t>
            </w:r>
          </w:p>
        </w:tc>
        <w:tc>
          <w:tcPr>
            <w:tcW w:type="dxa" w:w="2880"/>
            <w:vAlign w:val="center"/>
          </w:tcPr>
          <w:p>
            <w:pPr>
              <w:spacing w:after="0"/>
            </w:pPr>
            <w:r/>
            <w:r>
              <w:rPr>
                <w:rFonts w:ascii="Aptos" w:hAnsi="Aptos"/>
                <w:b w:val="0"/>
                <w:color w:val="222222"/>
                <w:sz w:val="16"/>
              </w:rPr>
              <w:t>Supplier/field record</w:t>
            </w:r>
          </w:p>
        </w:tc>
      </w:tr>
      <w:tr>
        <w:tc>
          <w:tcPr>
            <w:tcW w:type="dxa" w:w="1656"/>
            <w:vAlign w:val="center"/>
          </w:tcPr>
          <w:p>
            <w:pPr>
              <w:spacing w:after="0"/>
            </w:pPr>
            <w:r>
              <w:rPr>
                <w:b/>
              </w:rPr>
            </w:r>
            <w:r>
              <w:rPr>
                <w:rFonts w:ascii="Aptos" w:hAnsi="Aptos"/>
                <w:b w:val="0"/>
                <w:color w:val="222222"/>
                <w:sz w:val="16"/>
              </w:rPr>
              <w:t>Stocking</w:t>
            </w:r>
          </w:p>
        </w:tc>
        <w:tc>
          <w:tcPr>
            <w:tcW w:type="dxa" w:w="2880"/>
            <w:vAlign w:val="center"/>
          </w:tcPr>
          <w:p>
            <w:pPr>
              <w:spacing w:after="0"/>
            </w:pPr>
            <w:r/>
            <w:r>
              <w:rPr>
                <w:rFonts w:ascii="Aptos" w:hAnsi="Aptos"/>
                <w:b w:val="0"/>
                <w:color w:val="222222"/>
                <w:sz w:val="16"/>
              </w:rPr>
              <w:t>Initial survival assumption</w:t>
            </w:r>
          </w:p>
        </w:tc>
        <w:tc>
          <w:tcPr>
            <w:tcW w:type="dxa" w:w="1584"/>
            <w:vAlign w:val="center"/>
          </w:tcPr>
          <w:p>
            <w:pPr>
              <w:spacing w:after="0"/>
            </w:pPr>
            <w:r/>
            <w:r>
              <w:rPr>
                <w:rFonts w:ascii="Aptos" w:hAnsi="Aptos"/>
                <w:b w:val="0"/>
                <w:color w:val="222222"/>
                <w:sz w:val="16"/>
              </w:rPr>
              <w:t>%</w:t>
            </w:r>
          </w:p>
        </w:tc>
        <w:tc>
          <w:tcPr>
            <w:tcW w:type="dxa" w:w="1656"/>
            <w:vAlign w:val="center"/>
          </w:tcPr>
          <w:p>
            <w:pPr>
              <w:spacing w:after="0"/>
            </w:pPr>
            <w:r/>
            <w:r>
              <w:rPr>
                <w:rFonts w:ascii="Aptos" w:hAnsi="Aptos"/>
                <w:b w:val="0"/>
                <w:color w:val="222222"/>
                <w:sz w:val="16"/>
              </w:rPr>
              <w:t>Model input</w:t>
            </w:r>
          </w:p>
        </w:tc>
        <w:tc>
          <w:tcPr>
            <w:tcW w:type="dxa" w:w="2880"/>
            <w:vAlign w:val="center"/>
          </w:tcPr>
          <w:p>
            <w:pPr>
              <w:spacing w:after="0"/>
            </w:pPr>
            <w:r/>
            <w:r>
              <w:rPr>
                <w:rFonts w:ascii="Aptos" w:hAnsi="Aptos"/>
                <w:b w:val="0"/>
                <w:color w:val="222222"/>
                <w:sz w:val="16"/>
              </w:rPr>
              <w:t>Model assumption register</w:t>
            </w:r>
          </w:p>
        </w:tc>
      </w:tr>
    </w:tbl>
    <w:p>
      <w:pPr>
        <w:spacing w:after="20"/>
      </w:pPr>
    </w:p>
    <w:p>
      <w:pPr>
        <w:pStyle w:val="Heading2"/>
      </w:pPr>
      <w:r>
        <w:t>1.2 Daily Operational Logs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17365D"/>
          </w:tcPr>
          <w:p>
            <w:pPr>
              <w:spacing w:after="0"/>
            </w:pPr>
            <w:r/>
            <w:r>
              <w:rPr>
                <w:rFonts w:ascii="Aptos" w:hAnsi="Aptos"/>
                <w:b/>
                <w:color w:val="FFFFFF"/>
                <w:sz w:val="17"/>
              </w:rPr>
              <w:t>Input</w:t>
            </w:r>
          </w:p>
        </w:tc>
        <w:tc>
          <w:tcPr>
            <w:tcW w:type="dxa" w:w="2448"/>
            <w:vAlign w:val="center"/>
            <w:shd w:fill="17365D"/>
          </w:tcPr>
          <w:p>
            <w:pPr>
              <w:spacing w:after="0"/>
            </w:pPr>
            <w:r/>
            <w:r>
              <w:rPr>
                <w:rFonts w:ascii="Aptos" w:hAnsi="Aptos"/>
                <w:b/>
                <w:color w:val="FFFFFF"/>
                <w:sz w:val="17"/>
              </w:rPr>
              <w:t>Unit / allowed values</w:t>
            </w:r>
          </w:p>
        </w:tc>
        <w:tc>
          <w:tcPr>
            <w:tcW w:type="dxa" w:w="3456"/>
            <w:vAlign w:val="center"/>
            <w:shd w:fill="17365D"/>
          </w:tcPr>
          <w:p>
            <w:pPr>
              <w:spacing w:after="0"/>
            </w:pPr>
            <w:r/>
            <w:r>
              <w:rPr>
                <w:rFonts w:ascii="Aptos" w:hAnsi="Aptos"/>
                <w:b/>
                <w:color w:val="FFFFFF"/>
                <w:sz w:val="17"/>
              </w:rPr>
              <w:t>Minimum requirement</w:t>
            </w:r>
          </w:p>
        </w:tc>
        <w:tc>
          <w:tcPr>
            <w:tcW w:type="dxa" w:w="2304"/>
            <w:vAlign w:val="center"/>
            <w:shd w:fill="17365D"/>
          </w:tcPr>
          <w:p>
            <w:pPr>
              <w:spacing w:after="0"/>
            </w:pPr>
            <w:r/>
            <w:r>
              <w:rPr>
                <w:rFonts w:ascii="Aptos" w:hAnsi="Aptos"/>
                <w:b/>
                <w:color w:val="FFFFFF"/>
                <w:sz w:val="17"/>
              </w:rPr>
              <w:t>Primary evidence</w:t>
            </w:r>
          </w:p>
        </w:tc>
      </w:tr>
      <w:tr>
        <w:tc>
          <w:tcPr>
            <w:tcW w:type="dxa" w:w="2448"/>
            <w:vAlign w:val="center"/>
          </w:tcPr>
          <w:p>
            <w:pPr>
              <w:spacing w:after="0"/>
            </w:pPr>
            <w:r>
              <w:rPr>
                <w:b/>
              </w:rPr>
            </w:r>
            <w:r>
              <w:rPr>
                <w:rFonts w:ascii="Aptos" w:hAnsi="Aptos"/>
                <w:b w:val="0"/>
                <w:color w:val="222222"/>
                <w:sz w:val="16"/>
              </w:rPr>
              <w:t>Feed offered</w:t>
            </w:r>
          </w:p>
        </w:tc>
        <w:tc>
          <w:tcPr>
            <w:tcW w:type="dxa" w:w="2448"/>
            <w:vAlign w:val="center"/>
          </w:tcPr>
          <w:p>
            <w:pPr>
              <w:spacing w:after="0"/>
            </w:pPr>
            <w:r/>
            <w:r>
              <w:rPr>
                <w:rFonts w:ascii="Aptos" w:hAnsi="Aptos"/>
                <w:b w:val="0"/>
                <w:color w:val="222222"/>
                <w:sz w:val="16"/>
              </w:rPr>
              <w:t>kg/day</w:t>
            </w:r>
          </w:p>
        </w:tc>
        <w:tc>
          <w:tcPr>
            <w:tcW w:type="dxa" w:w="3456"/>
            <w:vAlign w:val="center"/>
          </w:tcPr>
          <w:p>
            <w:pPr>
              <w:spacing w:after="0"/>
            </w:pPr>
            <w:r/>
            <w:r>
              <w:rPr>
                <w:rFonts w:ascii="Aptos" w:hAnsi="Aptos"/>
                <w:b w:val="0"/>
                <w:color w:val="222222"/>
                <w:sz w:val="16"/>
              </w:rPr>
              <w:t>Record each feeding event or daily total</w:t>
            </w:r>
          </w:p>
        </w:tc>
        <w:tc>
          <w:tcPr>
            <w:tcW w:type="dxa" w:w="2304"/>
            <w:vAlign w:val="center"/>
          </w:tcPr>
          <w:p>
            <w:pPr>
              <w:spacing w:after="0"/>
            </w:pPr>
            <w:r/>
            <w:r>
              <w:rPr>
                <w:rFonts w:ascii="Aptos" w:hAnsi="Aptos"/>
                <w:b w:val="0"/>
                <w:color w:val="222222"/>
                <w:sz w:val="16"/>
              </w:rPr>
              <w:t>Feeding register / weighing record</w:t>
            </w:r>
          </w:p>
        </w:tc>
      </w:tr>
      <w:tr>
        <w:tc>
          <w:tcPr>
            <w:tcW w:type="dxa" w:w="2448"/>
            <w:vAlign w:val="center"/>
          </w:tcPr>
          <w:p>
            <w:pPr>
              <w:spacing w:after="0"/>
            </w:pPr>
            <w:r>
              <w:rPr>
                <w:b/>
              </w:rPr>
            </w:r>
            <w:r>
              <w:rPr>
                <w:rFonts w:ascii="Aptos" w:hAnsi="Aptos"/>
                <w:b w:val="0"/>
                <w:color w:val="222222"/>
                <w:sz w:val="16"/>
              </w:rPr>
              <w:t>Actual feed used</w:t>
            </w:r>
          </w:p>
        </w:tc>
        <w:tc>
          <w:tcPr>
            <w:tcW w:type="dxa" w:w="2448"/>
            <w:vAlign w:val="center"/>
          </w:tcPr>
          <w:p>
            <w:pPr>
              <w:spacing w:after="0"/>
            </w:pPr>
            <w:r/>
            <w:r>
              <w:rPr>
                <w:rFonts w:ascii="Aptos" w:hAnsi="Aptos"/>
                <w:b w:val="0"/>
                <w:color w:val="222222"/>
                <w:sz w:val="16"/>
              </w:rPr>
              <w:t>kg/day or kg/crop</w:t>
            </w:r>
          </w:p>
        </w:tc>
        <w:tc>
          <w:tcPr>
            <w:tcW w:type="dxa" w:w="3456"/>
            <w:vAlign w:val="center"/>
          </w:tcPr>
          <w:p>
            <w:pPr>
              <w:spacing w:after="0"/>
            </w:pPr>
            <w:r/>
            <w:r>
              <w:rPr>
                <w:rFonts w:ascii="Aptos" w:hAnsi="Aptos"/>
                <w:b w:val="0"/>
                <w:color w:val="222222"/>
                <w:sz w:val="16"/>
              </w:rPr>
              <w:t>Reconcile periodically</w:t>
            </w:r>
          </w:p>
        </w:tc>
        <w:tc>
          <w:tcPr>
            <w:tcW w:type="dxa" w:w="2304"/>
            <w:vAlign w:val="center"/>
          </w:tcPr>
          <w:p>
            <w:pPr>
              <w:spacing w:after="0"/>
            </w:pPr>
            <w:r/>
            <w:r>
              <w:rPr>
                <w:rFonts w:ascii="Aptos" w:hAnsi="Aptos"/>
                <w:b w:val="0"/>
                <w:color w:val="222222"/>
                <w:sz w:val="16"/>
              </w:rPr>
              <w:t>Feed register + stock balance</w:t>
            </w:r>
          </w:p>
        </w:tc>
      </w:tr>
      <w:tr>
        <w:tc>
          <w:tcPr>
            <w:tcW w:type="dxa" w:w="2448"/>
            <w:vAlign w:val="center"/>
          </w:tcPr>
          <w:p>
            <w:pPr>
              <w:spacing w:after="0"/>
            </w:pPr>
            <w:r>
              <w:rPr>
                <w:b/>
              </w:rPr>
            </w:r>
            <w:r>
              <w:rPr>
                <w:rFonts w:ascii="Aptos" w:hAnsi="Aptos"/>
                <w:b w:val="0"/>
                <w:color w:val="222222"/>
                <w:sz w:val="16"/>
              </w:rPr>
              <w:t>Pre-dawn DO</w:t>
            </w:r>
          </w:p>
        </w:tc>
        <w:tc>
          <w:tcPr>
            <w:tcW w:type="dxa" w:w="2448"/>
            <w:vAlign w:val="center"/>
          </w:tcPr>
          <w:p>
            <w:pPr>
              <w:spacing w:after="0"/>
            </w:pPr>
            <w:r/>
            <w:r>
              <w:rPr>
                <w:rFonts w:ascii="Aptos" w:hAnsi="Aptos"/>
                <w:b w:val="0"/>
                <w:color w:val="222222"/>
                <w:sz w:val="16"/>
              </w:rPr>
              <w:t>mg/L</w:t>
            </w:r>
          </w:p>
        </w:tc>
        <w:tc>
          <w:tcPr>
            <w:tcW w:type="dxa" w:w="3456"/>
            <w:vAlign w:val="center"/>
          </w:tcPr>
          <w:p>
            <w:pPr>
              <w:spacing w:after="0"/>
            </w:pPr>
            <w:r/>
            <w:r>
              <w:rPr>
                <w:rFonts w:ascii="Aptos" w:hAnsi="Aptos"/>
                <w:b w:val="0"/>
                <w:color w:val="222222"/>
                <w:sz w:val="16"/>
              </w:rPr>
              <w:t>Daily where feasible; critical days must be retained</w:t>
            </w:r>
          </w:p>
        </w:tc>
        <w:tc>
          <w:tcPr>
            <w:tcW w:type="dxa" w:w="2304"/>
            <w:vAlign w:val="center"/>
          </w:tcPr>
          <w:p>
            <w:pPr>
              <w:spacing w:after="0"/>
            </w:pPr>
            <w:r/>
            <w:r>
              <w:rPr>
                <w:rFonts w:ascii="Aptos" w:hAnsi="Aptos"/>
                <w:b w:val="0"/>
                <w:color w:val="222222"/>
                <w:sz w:val="16"/>
              </w:rPr>
              <w:t>Calibrated DO meter</w:t>
            </w:r>
          </w:p>
        </w:tc>
      </w:tr>
      <w:tr>
        <w:tc>
          <w:tcPr>
            <w:tcW w:type="dxa" w:w="2448"/>
            <w:vAlign w:val="center"/>
          </w:tcPr>
          <w:p>
            <w:pPr>
              <w:spacing w:after="0"/>
            </w:pPr>
            <w:r>
              <w:rPr>
                <w:b/>
              </w:rPr>
            </w:r>
            <w:r>
              <w:rPr>
                <w:rFonts w:ascii="Aptos" w:hAnsi="Aptos"/>
                <w:b w:val="0"/>
                <w:color w:val="222222"/>
                <w:sz w:val="16"/>
              </w:rPr>
              <w:t>H₂S</w:t>
            </w:r>
          </w:p>
        </w:tc>
        <w:tc>
          <w:tcPr>
            <w:tcW w:type="dxa" w:w="2448"/>
            <w:vAlign w:val="center"/>
          </w:tcPr>
          <w:p>
            <w:pPr>
              <w:spacing w:after="0"/>
            </w:pPr>
            <w:r/>
            <w:r>
              <w:rPr>
                <w:rFonts w:ascii="Aptos" w:hAnsi="Aptos"/>
                <w:b w:val="0"/>
                <w:color w:val="222222"/>
                <w:sz w:val="16"/>
              </w:rPr>
              <w:t>Nil / Detected</w:t>
            </w:r>
          </w:p>
        </w:tc>
        <w:tc>
          <w:tcPr>
            <w:tcW w:type="dxa" w:w="3456"/>
            <w:vAlign w:val="center"/>
          </w:tcPr>
          <w:p>
            <w:pPr>
              <w:spacing w:after="0"/>
            </w:pPr>
            <w:r/>
            <w:r>
              <w:rPr>
                <w:rFonts w:ascii="Aptos" w:hAnsi="Aptos"/>
                <w:b w:val="0"/>
                <w:color w:val="222222"/>
                <w:sz w:val="16"/>
              </w:rPr>
              <w:t>Daily observation where included in farm protocol</w:t>
            </w:r>
          </w:p>
        </w:tc>
        <w:tc>
          <w:tcPr>
            <w:tcW w:type="dxa" w:w="2304"/>
            <w:vAlign w:val="center"/>
          </w:tcPr>
          <w:p>
            <w:pPr>
              <w:spacing w:after="0"/>
            </w:pPr>
            <w:r/>
            <w:r>
              <w:rPr>
                <w:rFonts w:ascii="Aptos" w:hAnsi="Aptos"/>
                <w:b w:val="0"/>
                <w:color w:val="222222"/>
                <w:sz w:val="16"/>
              </w:rPr>
              <w:t>Field observation / test kit</w:t>
            </w:r>
          </w:p>
        </w:tc>
      </w:tr>
      <w:tr>
        <w:tc>
          <w:tcPr>
            <w:tcW w:type="dxa" w:w="2448"/>
            <w:vAlign w:val="center"/>
          </w:tcPr>
          <w:p>
            <w:pPr>
              <w:spacing w:after="0"/>
            </w:pPr>
            <w:r>
              <w:rPr>
                <w:b/>
              </w:rPr>
            </w:r>
            <w:r>
              <w:rPr>
                <w:rFonts w:ascii="Aptos" w:hAnsi="Aptos"/>
                <w:b w:val="0"/>
                <w:color w:val="222222"/>
                <w:sz w:val="16"/>
              </w:rPr>
              <w:t>Energy — grid</w:t>
            </w:r>
          </w:p>
        </w:tc>
        <w:tc>
          <w:tcPr>
            <w:tcW w:type="dxa" w:w="2448"/>
            <w:vAlign w:val="center"/>
          </w:tcPr>
          <w:p>
            <w:pPr>
              <w:spacing w:after="0"/>
            </w:pPr>
            <w:r/>
            <w:r>
              <w:rPr>
                <w:rFonts w:ascii="Aptos" w:hAnsi="Aptos"/>
                <w:b w:val="0"/>
                <w:color w:val="222222"/>
                <w:sz w:val="16"/>
              </w:rPr>
              <w:t>kWh</w:t>
            </w:r>
          </w:p>
        </w:tc>
        <w:tc>
          <w:tcPr>
            <w:tcW w:type="dxa" w:w="3456"/>
            <w:vAlign w:val="center"/>
          </w:tcPr>
          <w:p>
            <w:pPr>
              <w:spacing w:after="0"/>
            </w:pPr>
            <w:r/>
            <w:r>
              <w:rPr>
                <w:rFonts w:ascii="Aptos" w:hAnsi="Aptos"/>
                <w:b w:val="0"/>
                <w:color w:val="222222"/>
                <w:sz w:val="16"/>
              </w:rPr>
              <w:t>Meter/bill reading</w:t>
            </w:r>
          </w:p>
        </w:tc>
        <w:tc>
          <w:tcPr>
            <w:tcW w:type="dxa" w:w="2304"/>
            <w:vAlign w:val="center"/>
          </w:tcPr>
          <w:p>
            <w:pPr>
              <w:spacing w:after="0"/>
            </w:pPr>
            <w:r/>
            <w:r>
              <w:rPr>
                <w:rFonts w:ascii="Aptos" w:hAnsi="Aptos"/>
                <w:b w:val="0"/>
                <w:color w:val="222222"/>
                <w:sz w:val="16"/>
              </w:rPr>
              <w:t>Electricity meter/bill</w:t>
            </w:r>
          </w:p>
        </w:tc>
      </w:tr>
      <w:tr>
        <w:tc>
          <w:tcPr>
            <w:tcW w:type="dxa" w:w="2448"/>
            <w:vAlign w:val="center"/>
          </w:tcPr>
          <w:p>
            <w:pPr>
              <w:spacing w:after="0"/>
            </w:pPr>
            <w:r>
              <w:rPr>
                <w:b/>
              </w:rPr>
            </w:r>
            <w:r>
              <w:rPr>
                <w:rFonts w:ascii="Aptos" w:hAnsi="Aptos"/>
                <w:b w:val="0"/>
                <w:color w:val="222222"/>
                <w:sz w:val="16"/>
              </w:rPr>
              <w:t>Energy — diesel</w:t>
            </w:r>
          </w:p>
        </w:tc>
        <w:tc>
          <w:tcPr>
            <w:tcW w:type="dxa" w:w="2448"/>
            <w:vAlign w:val="center"/>
          </w:tcPr>
          <w:p>
            <w:pPr>
              <w:spacing w:after="0"/>
            </w:pPr>
            <w:r/>
            <w:r>
              <w:rPr>
                <w:rFonts w:ascii="Aptos" w:hAnsi="Aptos"/>
                <w:b w:val="0"/>
                <w:color w:val="222222"/>
                <w:sz w:val="16"/>
              </w:rPr>
              <w:t>L</w:t>
            </w:r>
          </w:p>
        </w:tc>
        <w:tc>
          <w:tcPr>
            <w:tcW w:type="dxa" w:w="3456"/>
            <w:vAlign w:val="center"/>
          </w:tcPr>
          <w:p>
            <w:pPr>
              <w:spacing w:after="0"/>
            </w:pPr>
            <w:r/>
            <w:r>
              <w:rPr>
                <w:rFonts w:ascii="Aptos" w:hAnsi="Aptos"/>
                <w:b w:val="0"/>
                <w:color w:val="222222"/>
                <w:sz w:val="16"/>
              </w:rPr>
              <w:t>Fuel consumed</w:t>
            </w:r>
          </w:p>
        </w:tc>
        <w:tc>
          <w:tcPr>
            <w:tcW w:type="dxa" w:w="2304"/>
            <w:vAlign w:val="center"/>
          </w:tcPr>
          <w:p>
            <w:pPr>
              <w:spacing w:after="0"/>
            </w:pPr>
            <w:r/>
            <w:r>
              <w:rPr>
                <w:rFonts w:ascii="Aptos" w:hAnsi="Aptos"/>
                <w:b w:val="0"/>
                <w:color w:val="222222"/>
                <w:sz w:val="16"/>
              </w:rPr>
              <w:t>Fuel log/invoice</w:t>
            </w:r>
          </w:p>
        </w:tc>
      </w:tr>
      <w:tr>
        <w:tc>
          <w:tcPr>
            <w:tcW w:type="dxa" w:w="2448"/>
            <w:vAlign w:val="center"/>
          </w:tcPr>
          <w:p>
            <w:pPr>
              <w:spacing w:after="0"/>
            </w:pPr>
            <w:r>
              <w:rPr>
                <w:b/>
              </w:rPr>
            </w:r>
            <w:r>
              <w:rPr>
                <w:rFonts w:ascii="Aptos" w:hAnsi="Aptos"/>
                <w:b w:val="0"/>
                <w:color w:val="222222"/>
                <w:sz w:val="16"/>
              </w:rPr>
              <w:t>Generator</w:t>
            </w:r>
          </w:p>
        </w:tc>
        <w:tc>
          <w:tcPr>
            <w:tcW w:type="dxa" w:w="2448"/>
            <w:vAlign w:val="center"/>
          </w:tcPr>
          <w:p>
            <w:pPr>
              <w:spacing w:after="0"/>
            </w:pPr>
            <w:r/>
            <w:r>
              <w:rPr>
                <w:rFonts w:ascii="Aptos" w:hAnsi="Aptos"/>
                <w:b w:val="0"/>
                <w:color w:val="222222"/>
                <w:sz w:val="16"/>
              </w:rPr>
              <w:t>kWh or L</w:t>
            </w:r>
          </w:p>
        </w:tc>
        <w:tc>
          <w:tcPr>
            <w:tcW w:type="dxa" w:w="3456"/>
            <w:vAlign w:val="center"/>
          </w:tcPr>
          <w:p>
            <w:pPr>
              <w:spacing w:after="0"/>
            </w:pPr>
            <w:r/>
            <w:r>
              <w:rPr>
                <w:rFonts w:ascii="Aptos" w:hAnsi="Aptos"/>
                <w:b w:val="0"/>
                <w:color w:val="222222"/>
                <w:sz w:val="16"/>
              </w:rPr>
              <w:t>Record use and fuel separately where possible</w:t>
            </w:r>
          </w:p>
        </w:tc>
        <w:tc>
          <w:tcPr>
            <w:tcW w:type="dxa" w:w="2304"/>
            <w:vAlign w:val="center"/>
          </w:tcPr>
          <w:p>
            <w:pPr>
              <w:spacing w:after="0"/>
            </w:pPr>
            <w:r/>
            <w:r>
              <w:rPr>
                <w:rFonts w:ascii="Aptos" w:hAnsi="Aptos"/>
                <w:b w:val="0"/>
                <w:color w:val="222222"/>
                <w:sz w:val="16"/>
              </w:rPr>
              <w:t>Generator/fuel log</w:t>
            </w:r>
          </w:p>
        </w:tc>
      </w:tr>
      <w:tr>
        <w:tc>
          <w:tcPr>
            <w:tcW w:type="dxa" w:w="2448"/>
            <w:vAlign w:val="center"/>
          </w:tcPr>
          <w:p>
            <w:pPr>
              <w:spacing w:after="0"/>
            </w:pPr>
            <w:r>
              <w:rPr>
                <w:b/>
              </w:rPr>
            </w:r>
            <w:r>
              <w:rPr>
                <w:rFonts w:ascii="Aptos" w:hAnsi="Aptos"/>
                <w:b w:val="0"/>
                <w:color w:val="222222"/>
                <w:sz w:val="16"/>
              </w:rPr>
              <w:t>Mortality</w:t>
            </w:r>
          </w:p>
        </w:tc>
        <w:tc>
          <w:tcPr>
            <w:tcW w:type="dxa" w:w="2448"/>
            <w:vAlign w:val="center"/>
          </w:tcPr>
          <w:p>
            <w:pPr>
              <w:spacing w:after="0"/>
            </w:pPr>
            <w:r/>
            <w:r>
              <w:rPr>
                <w:rFonts w:ascii="Aptos" w:hAnsi="Aptos"/>
                <w:b w:val="0"/>
                <w:color w:val="222222"/>
                <w:sz w:val="16"/>
              </w:rPr>
              <w:t>number / kg</w:t>
            </w:r>
          </w:p>
        </w:tc>
        <w:tc>
          <w:tcPr>
            <w:tcW w:type="dxa" w:w="3456"/>
            <w:vAlign w:val="center"/>
          </w:tcPr>
          <w:p>
            <w:pPr>
              <w:spacing w:after="0"/>
            </w:pPr>
            <w:r/>
            <w:r>
              <w:rPr>
                <w:rFonts w:ascii="Aptos" w:hAnsi="Aptos"/>
                <w:b w:val="0"/>
                <w:color w:val="222222"/>
                <w:sz w:val="16"/>
              </w:rPr>
              <w:t>Record daily mortality events</w:t>
            </w:r>
          </w:p>
        </w:tc>
        <w:tc>
          <w:tcPr>
            <w:tcW w:type="dxa" w:w="2304"/>
            <w:vAlign w:val="center"/>
          </w:tcPr>
          <w:p>
            <w:pPr>
              <w:spacing w:after="0"/>
            </w:pPr>
            <w:r/>
            <w:r>
              <w:rPr>
                <w:rFonts w:ascii="Aptos" w:hAnsi="Aptos"/>
                <w:b w:val="0"/>
                <w:color w:val="222222"/>
                <w:sz w:val="16"/>
              </w:rPr>
              <w:t>Mortality register</w:t>
            </w:r>
          </w:p>
        </w:tc>
      </w:tr>
      <w:tr>
        <w:tc>
          <w:tcPr>
            <w:tcW w:type="dxa" w:w="2448"/>
            <w:vAlign w:val="center"/>
          </w:tcPr>
          <w:p>
            <w:pPr>
              <w:spacing w:after="0"/>
            </w:pPr>
            <w:r>
              <w:rPr>
                <w:b/>
              </w:rPr>
            </w:r>
            <w:r>
              <w:rPr>
                <w:rFonts w:ascii="Aptos" w:hAnsi="Aptos"/>
                <w:b w:val="0"/>
                <w:color w:val="222222"/>
                <w:sz w:val="16"/>
              </w:rPr>
              <w:t>Water pumping</w:t>
            </w:r>
          </w:p>
        </w:tc>
        <w:tc>
          <w:tcPr>
            <w:tcW w:type="dxa" w:w="2448"/>
            <w:vAlign w:val="center"/>
          </w:tcPr>
          <w:p>
            <w:pPr>
              <w:spacing w:after="0"/>
            </w:pPr>
            <w:r/>
            <w:r>
              <w:rPr>
                <w:rFonts w:ascii="Aptos" w:hAnsi="Aptos"/>
                <w:b w:val="0"/>
                <w:color w:val="222222"/>
                <w:sz w:val="16"/>
              </w:rPr>
              <w:t>hours / kWh / diesel L</w:t>
            </w:r>
          </w:p>
        </w:tc>
        <w:tc>
          <w:tcPr>
            <w:tcW w:type="dxa" w:w="3456"/>
            <w:vAlign w:val="center"/>
          </w:tcPr>
          <w:p>
            <w:pPr>
              <w:spacing w:after="0"/>
            </w:pPr>
            <w:r/>
            <w:r>
              <w:rPr>
                <w:rFonts w:ascii="Aptos" w:hAnsi="Aptos"/>
                <w:b w:val="0"/>
                <w:color w:val="222222"/>
                <w:sz w:val="16"/>
              </w:rPr>
              <w:t>Record each pumping event</w:t>
            </w:r>
          </w:p>
        </w:tc>
        <w:tc>
          <w:tcPr>
            <w:tcW w:type="dxa" w:w="2304"/>
            <w:vAlign w:val="center"/>
          </w:tcPr>
          <w:p>
            <w:pPr>
              <w:spacing w:after="0"/>
            </w:pPr>
            <w:r/>
            <w:r>
              <w:rPr>
                <w:rFonts w:ascii="Aptos" w:hAnsi="Aptos"/>
                <w:b w:val="0"/>
                <w:color w:val="222222"/>
                <w:sz w:val="16"/>
              </w:rPr>
              <w:t>Pump log / meter / fuel record</w:t>
            </w:r>
          </w:p>
        </w:tc>
      </w:tr>
      <w:tr>
        <w:tc>
          <w:tcPr>
            <w:tcW w:type="dxa" w:w="2448"/>
            <w:vAlign w:val="center"/>
          </w:tcPr>
          <w:p>
            <w:pPr>
              <w:spacing w:after="0"/>
            </w:pPr>
            <w:r>
              <w:rPr>
                <w:b/>
              </w:rPr>
            </w:r>
            <w:r>
              <w:rPr>
                <w:rFonts w:ascii="Aptos" w:hAnsi="Aptos"/>
                <w:b w:val="0"/>
                <w:color w:val="222222"/>
                <w:sz w:val="16"/>
              </w:rPr>
              <w:t>Feeding time</w:t>
            </w:r>
          </w:p>
        </w:tc>
        <w:tc>
          <w:tcPr>
            <w:tcW w:type="dxa" w:w="2448"/>
            <w:vAlign w:val="center"/>
          </w:tcPr>
          <w:p>
            <w:pPr>
              <w:spacing w:after="0"/>
            </w:pPr>
            <w:r/>
            <w:r>
              <w:rPr>
                <w:rFonts w:ascii="Aptos" w:hAnsi="Aptos"/>
                <w:b w:val="0"/>
                <w:color w:val="222222"/>
                <w:sz w:val="16"/>
              </w:rPr>
              <w:t>clock time</w:t>
            </w:r>
          </w:p>
        </w:tc>
        <w:tc>
          <w:tcPr>
            <w:tcW w:type="dxa" w:w="3456"/>
            <w:vAlign w:val="center"/>
          </w:tcPr>
          <w:p>
            <w:pPr>
              <w:spacing w:after="0"/>
            </w:pPr>
            <w:r/>
            <w:r>
              <w:rPr>
                <w:rFonts w:ascii="Aptos" w:hAnsi="Aptos"/>
                <w:b w:val="0"/>
                <w:color w:val="222222"/>
                <w:sz w:val="16"/>
              </w:rPr>
              <w:t>Record actual feeding window</w:t>
            </w:r>
          </w:p>
        </w:tc>
        <w:tc>
          <w:tcPr>
            <w:tcW w:type="dxa" w:w="2304"/>
            <w:vAlign w:val="center"/>
          </w:tcPr>
          <w:p>
            <w:pPr>
              <w:spacing w:after="0"/>
            </w:pPr>
            <w:r/>
            <w:r>
              <w:rPr>
                <w:rFonts w:ascii="Aptos" w:hAnsi="Aptos"/>
                <w:b w:val="0"/>
                <w:color w:val="222222"/>
                <w:sz w:val="16"/>
              </w:rPr>
              <w:t>Feeding log</w:t>
            </w:r>
          </w:p>
        </w:tc>
      </w:tr>
      <w:tr>
        <w:tc>
          <w:tcPr>
            <w:tcW w:type="dxa" w:w="2448"/>
            <w:vAlign w:val="center"/>
          </w:tcPr>
          <w:p>
            <w:pPr>
              <w:spacing w:after="0"/>
            </w:pPr>
            <w:r>
              <w:rPr>
                <w:b/>
              </w:rPr>
            </w:r>
            <w:r>
              <w:rPr>
                <w:rFonts w:ascii="Aptos" w:hAnsi="Aptos"/>
                <w:b w:val="0"/>
                <w:color w:val="222222"/>
                <w:sz w:val="16"/>
              </w:rPr>
              <w:t>Punch Bag feeding</w:t>
            </w:r>
          </w:p>
        </w:tc>
        <w:tc>
          <w:tcPr>
            <w:tcW w:type="dxa" w:w="2448"/>
            <w:vAlign w:val="center"/>
          </w:tcPr>
          <w:p>
            <w:pPr>
              <w:spacing w:after="0"/>
            </w:pPr>
            <w:r/>
            <w:r>
              <w:rPr>
                <w:rFonts w:ascii="Aptos" w:hAnsi="Aptos"/>
                <w:b w:val="0"/>
                <w:color w:val="222222"/>
                <w:sz w:val="16"/>
              </w:rPr>
              <w:t>Yes / No</w:t>
            </w:r>
          </w:p>
        </w:tc>
        <w:tc>
          <w:tcPr>
            <w:tcW w:type="dxa" w:w="3456"/>
            <w:vAlign w:val="center"/>
          </w:tcPr>
          <w:p>
            <w:pPr>
              <w:spacing w:after="0"/>
            </w:pPr>
            <w:r/>
            <w:r>
              <w:rPr>
                <w:rFonts w:ascii="Aptos" w:hAnsi="Aptos"/>
                <w:b w:val="0"/>
                <w:color w:val="222222"/>
                <w:sz w:val="16"/>
              </w:rPr>
              <w:t>Record management status</w:t>
            </w:r>
          </w:p>
        </w:tc>
        <w:tc>
          <w:tcPr>
            <w:tcW w:type="dxa" w:w="2304"/>
            <w:vAlign w:val="center"/>
          </w:tcPr>
          <w:p>
            <w:pPr>
              <w:spacing w:after="0"/>
            </w:pPr>
            <w:r/>
            <w:r>
              <w:rPr>
                <w:rFonts w:ascii="Aptos" w:hAnsi="Aptos"/>
                <w:b w:val="0"/>
                <w:color w:val="222222"/>
                <w:sz w:val="16"/>
              </w:rPr>
              <w:t>Farm management log</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CE4D6"/>
          </w:tcPr>
          <w:p>
            <w:pPr>
              <w:spacing w:after="40"/>
            </w:pPr>
            <w:r>
              <w:rPr>
                <w:b/>
                <w:color w:val="C00000"/>
              </w:rPr>
              <w:t xml:space="preserve">IMC aeration rule:  </w:t>
            </w:r>
            <w:r>
              <w:rPr>
                <w:sz w:val="18"/>
              </w:rPr>
              <w:t>Mechanical aeration is zero. Paddlewheel hours = 0 and Blower hours = 0. Any non-zero value is an MRV integrity error for an IMC crop and must be investigated before results are accepted.</w:t>
            </w:r>
          </w:p>
        </w:tc>
      </w:tr>
    </w:tbl>
    <w:p>
      <w:pPr>
        <w:spacing w:after="20"/>
      </w:pPr>
    </w:p>
    <w:p>
      <w:pPr>
        <w:pStyle w:val="Heading2"/>
      </w:pPr>
      <w:r>
        <w:t>1.3 Weekly Water Quality &amp; Plankton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17365D"/>
          </w:tcPr>
          <w:p>
            <w:pPr>
              <w:spacing w:after="0"/>
            </w:pPr>
            <w:r/>
            <w:r>
              <w:rPr>
                <w:rFonts w:ascii="Aptos" w:hAnsi="Aptos"/>
                <w:b/>
                <w:color w:val="FFFFFF"/>
                <w:sz w:val="17"/>
              </w:rPr>
              <w:t>Parameter</w:t>
            </w:r>
          </w:p>
        </w:tc>
        <w:tc>
          <w:tcPr>
            <w:tcW w:type="dxa" w:w="2016"/>
            <w:vAlign w:val="center"/>
            <w:shd w:fill="17365D"/>
          </w:tcPr>
          <w:p>
            <w:pPr>
              <w:spacing w:after="0"/>
            </w:pPr>
            <w:r/>
            <w:r>
              <w:rPr>
                <w:rFonts w:ascii="Aptos" w:hAnsi="Aptos"/>
                <w:b/>
                <w:color w:val="FFFFFF"/>
                <w:sz w:val="17"/>
              </w:rPr>
              <w:t>Unit / score</w:t>
            </w:r>
          </w:p>
        </w:tc>
        <w:tc>
          <w:tcPr>
            <w:tcW w:type="dxa" w:w="3888"/>
            <w:vAlign w:val="center"/>
            <w:shd w:fill="17365D"/>
          </w:tcPr>
          <w:p>
            <w:pPr>
              <w:spacing w:after="0"/>
            </w:pPr>
            <w:r/>
            <w:r>
              <w:rPr>
                <w:rFonts w:ascii="Aptos" w:hAnsi="Aptos"/>
                <w:b/>
                <w:color w:val="FFFFFF"/>
                <w:sz w:val="17"/>
              </w:rPr>
              <w:t>Why collected</w:t>
            </w:r>
          </w:p>
        </w:tc>
        <w:tc>
          <w:tcPr>
            <w:tcW w:type="dxa" w:w="2016"/>
            <w:vAlign w:val="center"/>
            <w:shd w:fill="17365D"/>
          </w:tcPr>
          <w:p>
            <w:pPr>
              <w:spacing w:after="0"/>
            </w:pPr>
            <w:r/>
            <w:r>
              <w:rPr>
                <w:rFonts w:ascii="Aptos" w:hAnsi="Aptos"/>
                <w:b/>
                <w:color w:val="FFFFFF"/>
                <w:sz w:val="17"/>
              </w:rPr>
              <w:t>Quality requirement</w:t>
            </w:r>
          </w:p>
        </w:tc>
      </w:tr>
      <w:tr>
        <w:tc>
          <w:tcPr>
            <w:tcW w:type="dxa" w:w="2304"/>
            <w:vAlign w:val="center"/>
          </w:tcPr>
          <w:p>
            <w:pPr>
              <w:spacing w:after="0"/>
            </w:pPr>
            <w:r>
              <w:rPr>
                <w:b/>
              </w:rPr>
            </w:r>
            <w:r>
              <w:rPr>
                <w:rFonts w:ascii="Aptos" w:hAnsi="Aptos"/>
                <w:b w:val="0"/>
                <w:color w:val="222222"/>
                <w:sz w:val="16"/>
              </w:rPr>
              <w:t>Date</w:t>
            </w:r>
          </w:p>
        </w:tc>
        <w:tc>
          <w:tcPr>
            <w:tcW w:type="dxa" w:w="2016"/>
            <w:vAlign w:val="center"/>
          </w:tcPr>
          <w:p>
            <w:pPr>
              <w:spacing w:after="0"/>
            </w:pPr>
            <w:r/>
            <w:r>
              <w:rPr>
                <w:rFonts w:ascii="Aptos" w:hAnsi="Aptos"/>
                <w:b w:val="0"/>
                <w:color w:val="222222"/>
                <w:sz w:val="16"/>
              </w:rPr>
              <w:t>date</w:t>
            </w:r>
          </w:p>
        </w:tc>
        <w:tc>
          <w:tcPr>
            <w:tcW w:type="dxa" w:w="3888"/>
            <w:vAlign w:val="center"/>
          </w:tcPr>
          <w:p>
            <w:pPr>
              <w:spacing w:after="0"/>
            </w:pPr>
            <w:r/>
            <w:r>
              <w:rPr>
                <w:rFonts w:ascii="Aptos" w:hAnsi="Aptos"/>
                <w:b w:val="0"/>
                <w:color w:val="222222"/>
                <w:sz w:val="16"/>
              </w:rPr>
              <w:t>Observation timestamp</w:t>
            </w:r>
          </w:p>
        </w:tc>
        <w:tc>
          <w:tcPr>
            <w:tcW w:type="dxa" w:w="2016"/>
            <w:vAlign w:val="center"/>
          </w:tcPr>
          <w:p>
            <w:pPr>
              <w:spacing w:after="0"/>
            </w:pPr>
            <w:r/>
            <w:r>
              <w:rPr>
                <w:rFonts w:ascii="Aptos" w:hAnsi="Aptos"/>
                <w:b w:val="0"/>
                <w:color w:val="222222"/>
                <w:sz w:val="16"/>
              </w:rPr>
              <w:t>Must be within crop period</w:t>
            </w:r>
          </w:p>
        </w:tc>
      </w:tr>
      <w:tr>
        <w:tc>
          <w:tcPr>
            <w:tcW w:type="dxa" w:w="2304"/>
            <w:vAlign w:val="center"/>
          </w:tcPr>
          <w:p>
            <w:pPr>
              <w:spacing w:after="0"/>
            </w:pPr>
            <w:r>
              <w:rPr>
                <w:b/>
              </w:rPr>
            </w:r>
            <w:r>
              <w:rPr>
                <w:rFonts w:ascii="Aptos" w:hAnsi="Aptos"/>
                <w:b w:val="0"/>
                <w:color w:val="222222"/>
                <w:sz w:val="16"/>
              </w:rPr>
              <w:t>pH</w:t>
            </w:r>
          </w:p>
        </w:tc>
        <w:tc>
          <w:tcPr>
            <w:tcW w:type="dxa" w:w="2016"/>
            <w:vAlign w:val="center"/>
          </w:tcPr>
          <w:p>
            <w:pPr>
              <w:spacing w:after="0"/>
            </w:pPr>
            <w:r/>
            <w:r>
              <w:rPr>
                <w:rFonts w:ascii="Aptos" w:hAnsi="Aptos"/>
                <w:b w:val="0"/>
                <w:color w:val="222222"/>
                <w:sz w:val="16"/>
              </w:rPr>
              <w:t>pH units</w:t>
            </w:r>
          </w:p>
        </w:tc>
        <w:tc>
          <w:tcPr>
            <w:tcW w:type="dxa" w:w="3888"/>
            <w:vAlign w:val="center"/>
          </w:tcPr>
          <w:p>
            <w:pPr>
              <w:spacing w:after="0"/>
            </w:pPr>
            <w:r/>
            <w:r>
              <w:rPr>
                <w:rFonts w:ascii="Aptos" w:hAnsi="Aptos"/>
                <w:b w:val="0"/>
                <w:color w:val="222222"/>
                <w:sz w:val="16"/>
              </w:rPr>
              <w:t>Water chemistry context</w:t>
            </w:r>
          </w:p>
        </w:tc>
        <w:tc>
          <w:tcPr>
            <w:tcW w:type="dxa" w:w="2016"/>
            <w:vAlign w:val="center"/>
          </w:tcPr>
          <w:p>
            <w:pPr>
              <w:spacing w:after="0"/>
            </w:pPr>
            <w:r/>
            <w:r>
              <w:rPr>
                <w:rFonts w:ascii="Aptos" w:hAnsi="Aptos"/>
                <w:b w:val="0"/>
                <w:color w:val="222222"/>
                <w:sz w:val="16"/>
              </w:rPr>
              <w:t>Calibrated meter</w:t>
            </w:r>
          </w:p>
        </w:tc>
      </w:tr>
      <w:tr>
        <w:tc>
          <w:tcPr>
            <w:tcW w:type="dxa" w:w="2304"/>
            <w:vAlign w:val="center"/>
          </w:tcPr>
          <w:p>
            <w:pPr>
              <w:spacing w:after="0"/>
            </w:pPr>
            <w:r>
              <w:rPr>
                <w:b/>
              </w:rPr>
            </w:r>
            <w:r>
              <w:rPr>
                <w:rFonts w:ascii="Aptos" w:hAnsi="Aptos"/>
                <w:b w:val="0"/>
                <w:color w:val="222222"/>
                <w:sz w:val="16"/>
              </w:rPr>
              <w:t>Pre-dawn DO</w:t>
            </w:r>
          </w:p>
        </w:tc>
        <w:tc>
          <w:tcPr>
            <w:tcW w:type="dxa" w:w="2016"/>
            <w:vAlign w:val="center"/>
          </w:tcPr>
          <w:p>
            <w:pPr>
              <w:spacing w:after="0"/>
            </w:pPr>
            <w:r/>
            <w:r>
              <w:rPr>
                <w:rFonts w:ascii="Aptos" w:hAnsi="Aptos"/>
                <w:b w:val="0"/>
                <w:color w:val="222222"/>
                <w:sz w:val="16"/>
              </w:rPr>
              <w:t>mg/L</w:t>
            </w:r>
          </w:p>
        </w:tc>
        <w:tc>
          <w:tcPr>
            <w:tcW w:type="dxa" w:w="3888"/>
            <w:vAlign w:val="center"/>
          </w:tcPr>
          <w:p>
            <w:pPr>
              <w:spacing w:after="0"/>
            </w:pPr>
            <w:r/>
            <w:r>
              <w:rPr>
                <w:rFonts w:ascii="Aptos" w:hAnsi="Aptos"/>
                <w:b w:val="0"/>
                <w:color w:val="222222"/>
                <w:sz w:val="16"/>
              </w:rPr>
              <w:t>Diurnal oxygen stress and anaerobic fraction</w:t>
            </w:r>
          </w:p>
        </w:tc>
        <w:tc>
          <w:tcPr>
            <w:tcW w:type="dxa" w:w="2016"/>
            <w:vAlign w:val="center"/>
          </w:tcPr>
          <w:p>
            <w:pPr>
              <w:spacing w:after="0"/>
            </w:pPr>
            <w:r/>
            <w:r>
              <w:rPr>
                <w:rFonts w:ascii="Aptos" w:hAnsi="Aptos"/>
                <w:b w:val="0"/>
                <w:color w:val="222222"/>
                <w:sz w:val="16"/>
              </w:rPr>
              <w:t>Pre-dawn measurement</w:t>
            </w:r>
          </w:p>
        </w:tc>
      </w:tr>
      <w:tr>
        <w:tc>
          <w:tcPr>
            <w:tcW w:type="dxa" w:w="2304"/>
            <w:vAlign w:val="center"/>
          </w:tcPr>
          <w:p>
            <w:pPr>
              <w:spacing w:after="0"/>
            </w:pPr>
            <w:r>
              <w:rPr>
                <w:b/>
              </w:rPr>
            </w:r>
            <w:r>
              <w:rPr>
                <w:rFonts w:ascii="Aptos" w:hAnsi="Aptos"/>
                <w:b w:val="0"/>
                <w:color w:val="222222"/>
                <w:sz w:val="16"/>
              </w:rPr>
              <w:t>TAN</w:t>
            </w:r>
          </w:p>
        </w:tc>
        <w:tc>
          <w:tcPr>
            <w:tcW w:type="dxa" w:w="2016"/>
            <w:vAlign w:val="center"/>
          </w:tcPr>
          <w:p>
            <w:pPr>
              <w:spacing w:after="0"/>
            </w:pPr>
            <w:r/>
            <w:r>
              <w:rPr>
                <w:rFonts w:ascii="Aptos" w:hAnsi="Aptos"/>
                <w:b w:val="0"/>
                <w:color w:val="222222"/>
                <w:sz w:val="16"/>
              </w:rPr>
              <w:t>mg/L</w:t>
            </w:r>
          </w:p>
        </w:tc>
        <w:tc>
          <w:tcPr>
            <w:tcW w:type="dxa" w:w="3888"/>
            <w:vAlign w:val="center"/>
          </w:tcPr>
          <w:p>
            <w:pPr>
              <w:spacing w:after="0"/>
            </w:pPr>
            <w:r/>
            <w:r>
              <w:rPr>
                <w:rFonts w:ascii="Aptos" w:hAnsi="Aptos"/>
                <w:b w:val="0"/>
                <w:color w:val="222222"/>
                <w:sz w:val="16"/>
              </w:rPr>
              <w:t>Nitrogen cycling context</w:t>
            </w:r>
          </w:p>
        </w:tc>
        <w:tc>
          <w:tcPr>
            <w:tcW w:type="dxa" w:w="2016"/>
            <w:vAlign w:val="center"/>
          </w:tcPr>
          <w:p>
            <w:pPr>
              <w:spacing w:after="0"/>
            </w:pPr>
            <w:r/>
            <w:r>
              <w:rPr>
                <w:rFonts w:ascii="Aptos" w:hAnsi="Aptos"/>
                <w:b w:val="0"/>
                <w:color w:val="222222"/>
                <w:sz w:val="16"/>
              </w:rPr>
              <w:t>Field kit/lab</w:t>
            </w:r>
          </w:p>
        </w:tc>
      </w:tr>
      <w:tr>
        <w:tc>
          <w:tcPr>
            <w:tcW w:type="dxa" w:w="2304"/>
            <w:vAlign w:val="center"/>
          </w:tcPr>
          <w:p>
            <w:pPr>
              <w:spacing w:after="0"/>
            </w:pPr>
            <w:r>
              <w:rPr>
                <w:b/>
              </w:rPr>
            </w:r>
            <w:r>
              <w:rPr>
                <w:rFonts w:ascii="Aptos" w:hAnsi="Aptos"/>
                <w:b w:val="0"/>
                <w:color w:val="222222"/>
                <w:sz w:val="16"/>
              </w:rPr>
              <w:t>H₂S</w:t>
            </w:r>
          </w:p>
        </w:tc>
        <w:tc>
          <w:tcPr>
            <w:tcW w:type="dxa" w:w="2016"/>
            <w:vAlign w:val="center"/>
          </w:tcPr>
          <w:p>
            <w:pPr>
              <w:spacing w:after="0"/>
            </w:pPr>
            <w:r/>
            <w:r>
              <w:rPr>
                <w:rFonts w:ascii="Aptos" w:hAnsi="Aptos"/>
                <w:b w:val="0"/>
                <w:color w:val="222222"/>
                <w:sz w:val="16"/>
              </w:rPr>
              <w:t>Nil / Detected</w:t>
            </w:r>
          </w:p>
        </w:tc>
        <w:tc>
          <w:tcPr>
            <w:tcW w:type="dxa" w:w="3888"/>
            <w:vAlign w:val="center"/>
          </w:tcPr>
          <w:p>
            <w:pPr>
              <w:spacing w:after="0"/>
            </w:pPr>
            <w:r/>
            <w:r>
              <w:rPr>
                <w:rFonts w:ascii="Aptos" w:hAnsi="Aptos"/>
                <w:b w:val="0"/>
                <w:color w:val="222222"/>
                <w:sz w:val="16"/>
              </w:rPr>
              <w:t>Anaerobic condition indicator</w:t>
            </w:r>
          </w:p>
        </w:tc>
        <w:tc>
          <w:tcPr>
            <w:tcW w:type="dxa" w:w="2016"/>
            <w:vAlign w:val="center"/>
          </w:tcPr>
          <w:p>
            <w:pPr>
              <w:spacing w:after="0"/>
            </w:pPr>
            <w:r/>
            <w:r>
              <w:rPr>
                <w:rFonts w:ascii="Aptos" w:hAnsi="Aptos"/>
                <w:b w:val="0"/>
                <w:color w:val="222222"/>
                <w:sz w:val="16"/>
              </w:rPr>
              <w:t>Consistent detection method</w:t>
            </w:r>
          </w:p>
        </w:tc>
      </w:tr>
      <w:tr>
        <w:tc>
          <w:tcPr>
            <w:tcW w:type="dxa" w:w="2304"/>
            <w:vAlign w:val="center"/>
          </w:tcPr>
          <w:p>
            <w:pPr>
              <w:spacing w:after="0"/>
            </w:pPr>
            <w:r>
              <w:rPr>
                <w:b/>
              </w:rPr>
            </w:r>
            <w:r>
              <w:rPr>
                <w:rFonts w:ascii="Aptos" w:hAnsi="Aptos"/>
                <w:b w:val="0"/>
                <w:color w:val="222222"/>
                <w:sz w:val="16"/>
              </w:rPr>
              <w:t>Secchi depth</w:t>
            </w:r>
          </w:p>
        </w:tc>
        <w:tc>
          <w:tcPr>
            <w:tcW w:type="dxa" w:w="2016"/>
            <w:vAlign w:val="center"/>
          </w:tcPr>
          <w:p>
            <w:pPr>
              <w:spacing w:after="0"/>
            </w:pPr>
            <w:r/>
            <w:r>
              <w:rPr>
                <w:rFonts w:ascii="Aptos" w:hAnsi="Aptos"/>
                <w:b w:val="0"/>
                <w:color w:val="222222"/>
                <w:sz w:val="16"/>
              </w:rPr>
              <w:t>cm</w:t>
            </w:r>
          </w:p>
        </w:tc>
        <w:tc>
          <w:tcPr>
            <w:tcW w:type="dxa" w:w="3888"/>
            <w:vAlign w:val="center"/>
          </w:tcPr>
          <w:p>
            <w:pPr>
              <w:spacing w:after="0"/>
            </w:pPr>
            <w:r/>
            <w:r>
              <w:rPr>
                <w:rFonts w:ascii="Aptos" w:hAnsi="Aptos"/>
                <w:b w:val="0"/>
                <w:color w:val="222222"/>
                <w:sz w:val="16"/>
              </w:rPr>
              <w:t>Water transparency / productivity proxy</w:t>
            </w:r>
          </w:p>
        </w:tc>
        <w:tc>
          <w:tcPr>
            <w:tcW w:type="dxa" w:w="2016"/>
            <w:vAlign w:val="center"/>
          </w:tcPr>
          <w:p>
            <w:pPr>
              <w:spacing w:after="0"/>
            </w:pPr>
            <w:r/>
            <w:r>
              <w:rPr>
                <w:rFonts w:ascii="Aptos" w:hAnsi="Aptos"/>
                <w:b w:val="0"/>
                <w:color w:val="222222"/>
                <w:sz w:val="16"/>
              </w:rPr>
              <w:t>Standard Secchi procedure</w:t>
            </w:r>
          </w:p>
        </w:tc>
      </w:tr>
      <w:tr>
        <w:tc>
          <w:tcPr>
            <w:tcW w:type="dxa" w:w="2304"/>
            <w:vAlign w:val="center"/>
          </w:tcPr>
          <w:p>
            <w:pPr>
              <w:spacing w:after="0"/>
            </w:pPr>
            <w:r>
              <w:rPr>
                <w:b/>
              </w:rPr>
            </w:r>
            <w:r>
              <w:rPr>
                <w:rFonts w:ascii="Aptos" w:hAnsi="Aptos"/>
                <w:b w:val="0"/>
                <w:color w:val="222222"/>
                <w:sz w:val="16"/>
              </w:rPr>
              <w:t>Diatoms</w:t>
            </w:r>
          </w:p>
        </w:tc>
        <w:tc>
          <w:tcPr>
            <w:tcW w:type="dxa" w:w="2016"/>
            <w:vAlign w:val="center"/>
          </w:tcPr>
          <w:p>
            <w:pPr>
              <w:spacing w:after="0"/>
            </w:pPr>
            <w:r/>
            <w:r>
              <w:rPr>
                <w:rFonts w:ascii="Aptos" w:hAnsi="Aptos"/>
                <w:b w:val="0"/>
                <w:color w:val="222222"/>
                <w:sz w:val="16"/>
              </w:rPr>
              <w:t>%</w:t>
            </w:r>
          </w:p>
        </w:tc>
        <w:tc>
          <w:tcPr>
            <w:tcW w:type="dxa" w:w="3888"/>
            <w:vAlign w:val="center"/>
          </w:tcPr>
          <w:p>
            <w:pPr>
              <w:spacing w:after="0"/>
            </w:pPr>
            <w:r/>
            <w:r>
              <w:rPr>
                <w:rFonts w:ascii="Aptos" w:hAnsi="Aptos"/>
                <w:b w:val="0"/>
                <w:color w:val="222222"/>
                <w:sz w:val="16"/>
              </w:rPr>
              <w:t>Positive plankton component</w:t>
            </w:r>
          </w:p>
        </w:tc>
        <w:tc>
          <w:tcPr>
            <w:tcW w:type="dxa" w:w="2016"/>
            <w:vAlign w:val="center"/>
          </w:tcPr>
          <w:p>
            <w:pPr>
              <w:spacing w:after="0"/>
            </w:pPr>
            <w:r/>
            <w:r>
              <w:rPr>
                <w:rFonts w:ascii="Aptos" w:hAnsi="Aptos"/>
                <w:b w:val="0"/>
                <w:color w:val="222222"/>
                <w:sz w:val="16"/>
              </w:rPr>
              <w:t>Microscopy/validated assessment</w:t>
            </w:r>
          </w:p>
        </w:tc>
      </w:tr>
      <w:tr>
        <w:tc>
          <w:tcPr>
            <w:tcW w:type="dxa" w:w="2304"/>
            <w:vAlign w:val="center"/>
          </w:tcPr>
          <w:p>
            <w:pPr>
              <w:spacing w:after="0"/>
            </w:pPr>
            <w:r>
              <w:rPr>
                <w:b/>
              </w:rPr>
            </w:r>
            <w:r>
              <w:rPr>
                <w:rFonts w:ascii="Aptos" w:hAnsi="Aptos"/>
                <w:b w:val="0"/>
                <w:color w:val="222222"/>
                <w:sz w:val="16"/>
              </w:rPr>
              <w:t>Green algae</w:t>
            </w:r>
          </w:p>
        </w:tc>
        <w:tc>
          <w:tcPr>
            <w:tcW w:type="dxa" w:w="2016"/>
            <w:vAlign w:val="center"/>
          </w:tcPr>
          <w:p>
            <w:pPr>
              <w:spacing w:after="0"/>
            </w:pPr>
            <w:r/>
            <w:r>
              <w:rPr>
                <w:rFonts w:ascii="Aptos" w:hAnsi="Aptos"/>
                <w:b w:val="0"/>
                <w:color w:val="222222"/>
                <w:sz w:val="16"/>
              </w:rPr>
              <w:t>%</w:t>
            </w:r>
          </w:p>
        </w:tc>
        <w:tc>
          <w:tcPr>
            <w:tcW w:type="dxa" w:w="3888"/>
            <w:vAlign w:val="center"/>
          </w:tcPr>
          <w:p>
            <w:pPr>
              <w:spacing w:after="0"/>
            </w:pPr>
            <w:r/>
            <w:r>
              <w:rPr>
                <w:rFonts w:ascii="Aptos" w:hAnsi="Aptos"/>
                <w:b w:val="0"/>
                <w:color w:val="222222"/>
                <w:sz w:val="16"/>
              </w:rPr>
              <w:t>Positive plankton component</w:t>
            </w:r>
          </w:p>
        </w:tc>
        <w:tc>
          <w:tcPr>
            <w:tcW w:type="dxa" w:w="2016"/>
            <w:vAlign w:val="center"/>
          </w:tcPr>
          <w:p>
            <w:pPr>
              <w:spacing w:after="0"/>
            </w:pPr>
            <w:r/>
            <w:r>
              <w:rPr>
                <w:rFonts w:ascii="Aptos" w:hAnsi="Aptos"/>
                <w:b w:val="0"/>
                <w:color w:val="222222"/>
                <w:sz w:val="16"/>
              </w:rPr>
              <w:t>Microscopy/validated assessment</w:t>
            </w:r>
          </w:p>
        </w:tc>
      </w:tr>
      <w:tr>
        <w:tc>
          <w:tcPr>
            <w:tcW w:type="dxa" w:w="2304"/>
            <w:vAlign w:val="center"/>
          </w:tcPr>
          <w:p>
            <w:pPr>
              <w:spacing w:after="0"/>
            </w:pPr>
            <w:r>
              <w:rPr>
                <w:b/>
              </w:rPr>
            </w:r>
            <w:r>
              <w:rPr>
                <w:rFonts w:ascii="Aptos" w:hAnsi="Aptos"/>
                <w:b w:val="0"/>
                <w:color w:val="222222"/>
                <w:sz w:val="16"/>
              </w:rPr>
              <w:t>Cyanobacteria</w:t>
            </w:r>
          </w:p>
        </w:tc>
        <w:tc>
          <w:tcPr>
            <w:tcW w:type="dxa" w:w="2016"/>
            <w:vAlign w:val="center"/>
          </w:tcPr>
          <w:p>
            <w:pPr>
              <w:spacing w:after="0"/>
            </w:pPr>
            <w:r/>
            <w:r>
              <w:rPr>
                <w:rFonts w:ascii="Aptos" w:hAnsi="Aptos"/>
                <w:b w:val="0"/>
                <w:color w:val="222222"/>
                <w:sz w:val="16"/>
              </w:rPr>
              <w:t>%</w:t>
            </w:r>
          </w:p>
        </w:tc>
        <w:tc>
          <w:tcPr>
            <w:tcW w:type="dxa" w:w="3888"/>
            <w:vAlign w:val="center"/>
          </w:tcPr>
          <w:p>
            <w:pPr>
              <w:spacing w:after="0"/>
            </w:pPr>
            <w:r/>
            <w:r>
              <w:rPr>
                <w:rFonts w:ascii="Aptos" w:hAnsi="Aptos"/>
                <w:b w:val="0"/>
                <w:color w:val="222222"/>
                <w:sz w:val="16"/>
              </w:rPr>
              <w:t>Risk modifier and N₂O adjustment trigger</w:t>
            </w:r>
          </w:p>
        </w:tc>
        <w:tc>
          <w:tcPr>
            <w:tcW w:type="dxa" w:w="2016"/>
            <w:vAlign w:val="center"/>
          </w:tcPr>
          <w:p>
            <w:pPr>
              <w:spacing w:after="0"/>
            </w:pPr>
            <w:r/>
            <w:r>
              <w:rPr>
                <w:rFonts w:ascii="Aptos" w:hAnsi="Aptos"/>
                <w:b w:val="0"/>
                <w:color w:val="222222"/>
                <w:sz w:val="16"/>
              </w:rPr>
              <w:t>Microscopy/validated assessment</w:t>
            </w:r>
          </w:p>
        </w:tc>
      </w:tr>
      <w:tr>
        <w:tc>
          <w:tcPr>
            <w:tcW w:type="dxa" w:w="2304"/>
            <w:vAlign w:val="center"/>
          </w:tcPr>
          <w:p>
            <w:pPr>
              <w:spacing w:after="0"/>
            </w:pPr>
            <w:r>
              <w:rPr>
                <w:b/>
              </w:rPr>
            </w:r>
            <w:r>
              <w:rPr>
                <w:rFonts w:ascii="Aptos" w:hAnsi="Aptos"/>
                <w:b w:val="0"/>
                <w:color w:val="222222"/>
                <w:sz w:val="16"/>
              </w:rPr>
              <w:t>Zooplankton score</w:t>
            </w:r>
          </w:p>
        </w:tc>
        <w:tc>
          <w:tcPr>
            <w:tcW w:type="dxa" w:w="2016"/>
            <w:vAlign w:val="center"/>
          </w:tcPr>
          <w:p>
            <w:pPr>
              <w:spacing w:after="0"/>
            </w:pPr>
            <w:r/>
            <w:r>
              <w:rPr>
                <w:rFonts w:ascii="Aptos" w:hAnsi="Aptos"/>
                <w:b w:val="0"/>
                <w:color w:val="222222"/>
                <w:sz w:val="16"/>
              </w:rPr>
              <w:t>0–3</w:t>
            </w:r>
          </w:p>
        </w:tc>
        <w:tc>
          <w:tcPr>
            <w:tcW w:type="dxa" w:w="3888"/>
            <w:vAlign w:val="center"/>
          </w:tcPr>
          <w:p>
            <w:pPr>
              <w:spacing w:after="0"/>
            </w:pPr>
            <w:r/>
            <w:r>
              <w:rPr>
                <w:rFonts w:ascii="Aptos" w:hAnsi="Aptos"/>
                <w:b w:val="0"/>
                <w:color w:val="222222"/>
                <w:sz w:val="16"/>
              </w:rPr>
              <w:t>Natural food availability indicator</w:t>
            </w:r>
          </w:p>
        </w:tc>
        <w:tc>
          <w:tcPr>
            <w:tcW w:type="dxa" w:w="2016"/>
            <w:vAlign w:val="center"/>
          </w:tcPr>
          <w:p>
            <w:pPr>
              <w:spacing w:after="0"/>
            </w:pPr>
            <w:r/>
            <w:r>
              <w:rPr>
                <w:rFonts w:ascii="Aptos" w:hAnsi="Aptos"/>
                <w:b w:val="0"/>
                <w:color w:val="222222"/>
                <w:sz w:val="16"/>
              </w:rPr>
              <w:t>0 absent; 1 low; 2 moderate; 3 high</w:t>
            </w:r>
          </w:p>
        </w:tc>
      </w:tr>
      <w:tr>
        <w:tc>
          <w:tcPr>
            <w:tcW w:type="dxa" w:w="2304"/>
            <w:vAlign w:val="center"/>
          </w:tcPr>
          <w:p>
            <w:pPr>
              <w:spacing w:after="0"/>
            </w:pPr>
            <w:r>
              <w:rPr>
                <w:b/>
              </w:rPr>
            </w:r>
            <w:r>
              <w:rPr>
                <w:rFonts w:ascii="Aptos" w:hAnsi="Aptos"/>
                <w:b w:val="0"/>
                <w:color w:val="222222"/>
                <w:sz w:val="16"/>
              </w:rPr>
              <w:t>Data source</w:t>
            </w:r>
          </w:p>
        </w:tc>
        <w:tc>
          <w:tcPr>
            <w:tcW w:type="dxa" w:w="2016"/>
            <w:vAlign w:val="center"/>
          </w:tcPr>
          <w:p>
            <w:pPr>
              <w:spacing w:after="0"/>
            </w:pPr>
            <w:r/>
            <w:r>
              <w:rPr>
                <w:rFonts w:ascii="Aptos" w:hAnsi="Aptos"/>
                <w:b w:val="0"/>
                <w:color w:val="222222"/>
                <w:sz w:val="16"/>
              </w:rPr>
              <w:t>field/lab</w:t>
            </w:r>
          </w:p>
        </w:tc>
        <w:tc>
          <w:tcPr>
            <w:tcW w:type="dxa" w:w="3888"/>
            <w:vAlign w:val="center"/>
          </w:tcPr>
          <w:p>
            <w:pPr>
              <w:spacing w:after="0"/>
            </w:pPr>
            <w:r/>
            <w:r>
              <w:rPr>
                <w:rFonts w:ascii="Aptos" w:hAnsi="Aptos"/>
                <w:b w:val="0"/>
                <w:color w:val="222222"/>
                <w:sz w:val="16"/>
              </w:rPr>
              <w:t>Evidence classification</w:t>
            </w:r>
          </w:p>
        </w:tc>
        <w:tc>
          <w:tcPr>
            <w:tcW w:type="dxa" w:w="2016"/>
            <w:vAlign w:val="center"/>
          </w:tcPr>
          <w:p>
            <w:pPr>
              <w:spacing w:after="0"/>
            </w:pPr>
            <w:r/>
            <w:r>
              <w:rPr>
                <w:rFonts w:ascii="Aptos" w:hAnsi="Aptos"/>
                <w:b w:val="0"/>
                <w:color w:val="222222"/>
                <w:sz w:val="16"/>
              </w:rPr>
              <w:t>Required</w:t>
            </w:r>
          </w:p>
        </w:tc>
      </w:tr>
      <w:tr>
        <w:tc>
          <w:tcPr>
            <w:tcW w:type="dxa" w:w="2304"/>
            <w:vAlign w:val="center"/>
          </w:tcPr>
          <w:p>
            <w:pPr>
              <w:spacing w:after="0"/>
            </w:pPr>
            <w:r>
              <w:rPr>
                <w:b/>
              </w:rPr>
            </w:r>
            <w:r>
              <w:rPr>
                <w:rFonts w:ascii="Aptos" w:hAnsi="Aptos"/>
                <w:b w:val="0"/>
                <w:color w:val="222222"/>
                <w:sz w:val="16"/>
              </w:rPr>
              <w:t>Evidence ID</w:t>
            </w:r>
          </w:p>
        </w:tc>
        <w:tc>
          <w:tcPr>
            <w:tcW w:type="dxa" w:w="2016"/>
            <w:vAlign w:val="center"/>
          </w:tcPr>
          <w:p>
            <w:pPr>
              <w:spacing w:after="0"/>
            </w:pPr>
            <w:r/>
            <w:r>
              <w:rPr>
                <w:rFonts w:ascii="Aptos" w:hAnsi="Aptos"/>
                <w:b w:val="0"/>
                <w:color w:val="222222"/>
                <w:sz w:val="16"/>
              </w:rPr>
              <w:t>text</w:t>
            </w:r>
          </w:p>
        </w:tc>
        <w:tc>
          <w:tcPr>
            <w:tcW w:type="dxa" w:w="3888"/>
            <w:vAlign w:val="center"/>
          </w:tcPr>
          <w:p>
            <w:pPr>
              <w:spacing w:after="0"/>
            </w:pPr>
            <w:r/>
            <w:r>
              <w:rPr>
                <w:rFonts w:ascii="Aptos" w:hAnsi="Aptos"/>
                <w:b w:val="0"/>
                <w:color w:val="222222"/>
                <w:sz w:val="16"/>
              </w:rPr>
              <w:t>Audit traceability</w:t>
            </w:r>
          </w:p>
        </w:tc>
        <w:tc>
          <w:tcPr>
            <w:tcW w:type="dxa" w:w="2016"/>
            <w:vAlign w:val="center"/>
          </w:tcPr>
          <w:p>
            <w:pPr>
              <w:spacing w:after="0"/>
            </w:pPr>
            <w:r/>
            <w:r>
              <w:rPr>
                <w:rFonts w:ascii="Aptos" w:hAnsi="Aptos"/>
                <w:b w:val="0"/>
                <w:color w:val="222222"/>
                <w:sz w:val="16"/>
              </w:rPr>
              <w:t>Recommended</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FF2CC"/>
          </w:tcPr>
          <w:p>
            <w:pPr>
              <w:spacing w:after="40"/>
            </w:pPr>
            <w:r>
              <w:rPr>
                <w:b/>
                <w:color w:val="BF9000"/>
              </w:rPr>
              <w:t xml:space="preserve">Completeness rule:  </w:t>
            </w:r>
            <w:r>
              <w:rPr>
                <w:sz w:val="18"/>
              </w:rPr>
              <w:t>The v3.4 natural-feed credit is only activated when the weekly Water Quality &amp; Plankton dataset is at least 75% complete for the expected weekly observation count. ≥90% is treated as high-quality MRV coverage.</w:t>
            </w:r>
          </w:p>
        </w:tc>
      </w:tr>
    </w:tbl>
    <w:p>
      <w:pPr>
        <w:spacing w:after="20"/>
      </w:pPr>
    </w:p>
    <w:p>
      <w:pPr>
        <w:pStyle w:val="Heading2"/>
      </w:pPr>
      <w:r>
        <w:t>1.4 Monthly / Mid-Cycle Checks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center"/>
            <w:shd w:fill="17365D"/>
          </w:tcPr>
          <w:p>
            <w:pPr>
              <w:spacing w:after="0"/>
            </w:pPr>
            <w:r/>
            <w:r>
              <w:rPr>
                <w:rFonts w:ascii="Aptos" w:hAnsi="Aptos"/>
                <w:b/>
                <w:color w:val="FFFFFF"/>
                <w:sz w:val="17"/>
              </w:rPr>
              <w:t>Check</w:t>
            </w:r>
          </w:p>
        </w:tc>
        <w:tc>
          <w:tcPr>
            <w:tcW w:type="dxa" w:w="3240"/>
            <w:vAlign w:val="center"/>
            <w:shd w:fill="17365D"/>
          </w:tcPr>
          <w:p>
            <w:pPr>
              <w:spacing w:after="0"/>
            </w:pPr>
            <w:r/>
            <w:r>
              <w:rPr>
                <w:rFonts w:ascii="Aptos" w:hAnsi="Aptos"/>
                <w:b/>
                <w:color w:val="FFFFFF"/>
                <w:sz w:val="17"/>
              </w:rPr>
              <w:t>Required data</w:t>
            </w:r>
          </w:p>
        </w:tc>
        <w:tc>
          <w:tcPr>
            <w:tcW w:type="dxa" w:w="3240"/>
            <w:vAlign w:val="center"/>
            <w:shd w:fill="17365D"/>
          </w:tcPr>
          <w:p>
            <w:pPr>
              <w:spacing w:after="0"/>
            </w:pPr>
            <w:r/>
            <w:r>
              <w:rPr>
                <w:rFonts w:ascii="Aptos" w:hAnsi="Aptos"/>
                <w:b/>
                <w:color w:val="FFFFFF"/>
                <w:sz w:val="17"/>
              </w:rPr>
              <w:t>Purpose</w:t>
            </w:r>
          </w:p>
        </w:tc>
        <w:tc>
          <w:tcPr>
            <w:tcW w:type="dxa" w:w="1800"/>
            <w:vAlign w:val="center"/>
            <w:shd w:fill="17365D"/>
          </w:tcPr>
          <w:p>
            <w:pPr>
              <w:spacing w:after="0"/>
            </w:pPr>
            <w:r/>
            <w:r>
              <w:rPr>
                <w:rFonts w:ascii="Aptos" w:hAnsi="Aptos"/>
                <w:b/>
                <w:color w:val="FFFFFF"/>
                <w:sz w:val="17"/>
              </w:rPr>
              <w:t>Evidence</w:t>
            </w:r>
          </w:p>
        </w:tc>
      </w:tr>
      <w:tr>
        <w:tc>
          <w:tcPr>
            <w:tcW w:type="dxa" w:w="2232"/>
            <w:vAlign w:val="center"/>
          </w:tcPr>
          <w:p>
            <w:pPr>
              <w:spacing w:after="0"/>
            </w:pPr>
            <w:r>
              <w:rPr>
                <w:b/>
              </w:rPr>
            </w:r>
            <w:r>
              <w:rPr>
                <w:rFonts w:ascii="Aptos" w:hAnsi="Aptos"/>
                <w:b w:val="0"/>
                <w:color w:val="222222"/>
                <w:sz w:val="16"/>
              </w:rPr>
              <w:t>Biomass sampling</w:t>
            </w:r>
          </w:p>
        </w:tc>
        <w:tc>
          <w:tcPr>
            <w:tcW w:type="dxa" w:w="3240"/>
            <w:vAlign w:val="center"/>
          </w:tcPr>
          <w:p>
            <w:pPr>
              <w:spacing w:after="0"/>
            </w:pPr>
            <w:r/>
            <w:r>
              <w:rPr>
                <w:rFonts w:ascii="Aptos" w:hAnsi="Aptos"/>
                <w:b w:val="0"/>
                <w:color w:val="222222"/>
                <w:sz w:val="16"/>
              </w:rPr>
              <w:t>Sample weight, sample count, estimated standing biomass</w:t>
            </w:r>
          </w:p>
        </w:tc>
        <w:tc>
          <w:tcPr>
            <w:tcW w:type="dxa" w:w="3240"/>
            <w:vAlign w:val="center"/>
          </w:tcPr>
          <w:p>
            <w:pPr>
              <w:spacing w:after="0"/>
            </w:pPr>
            <w:r/>
            <w:r>
              <w:rPr>
                <w:rFonts w:ascii="Aptos" w:hAnsi="Aptos"/>
                <w:b w:val="0"/>
                <w:color w:val="222222"/>
                <w:sz w:val="16"/>
              </w:rPr>
              <w:t>Reconcile modeled and observed biomass</w:t>
            </w:r>
          </w:p>
        </w:tc>
        <w:tc>
          <w:tcPr>
            <w:tcW w:type="dxa" w:w="1800"/>
            <w:vAlign w:val="center"/>
          </w:tcPr>
          <w:p>
            <w:pPr>
              <w:spacing w:after="0"/>
            </w:pPr>
            <w:r/>
            <w:r>
              <w:rPr>
                <w:rFonts w:ascii="Aptos" w:hAnsi="Aptos"/>
                <w:b w:val="0"/>
                <w:color w:val="222222"/>
                <w:sz w:val="16"/>
              </w:rPr>
              <w:t>Sampling sheet/photos</w:t>
            </w:r>
          </w:p>
        </w:tc>
      </w:tr>
      <w:tr>
        <w:tc>
          <w:tcPr>
            <w:tcW w:type="dxa" w:w="2232"/>
            <w:vAlign w:val="center"/>
          </w:tcPr>
          <w:p>
            <w:pPr>
              <w:spacing w:after="0"/>
            </w:pPr>
            <w:r>
              <w:rPr>
                <w:b/>
              </w:rPr>
            </w:r>
            <w:r>
              <w:rPr>
                <w:rFonts w:ascii="Aptos" w:hAnsi="Aptos"/>
                <w:b w:val="0"/>
                <w:color w:val="222222"/>
                <w:sz w:val="16"/>
              </w:rPr>
              <w:t>Soil C:N</w:t>
            </w:r>
          </w:p>
        </w:tc>
        <w:tc>
          <w:tcPr>
            <w:tcW w:type="dxa" w:w="3240"/>
            <w:vAlign w:val="center"/>
          </w:tcPr>
          <w:p>
            <w:pPr>
              <w:spacing w:after="0"/>
            </w:pPr>
            <w:r/>
            <w:r>
              <w:rPr>
                <w:rFonts w:ascii="Aptos" w:hAnsi="Aptos"/>
                <w:b w:val="0"/>
                <w:color w:val="222222"/>
                <w:sz w:val="16"/>
              </w:rPr>
              <w:t>SOC%, total N%, C:N</w:t>
            </w:r>
          </w:p>
        </w:tc>
        <w:tc>
          <w:tcPr>
            <w:tcW w:type="dxa" w:w="3240"/>
            <w:vAlign w:val="center"/>
          </w:tcPr>
          <w:p>
            <w:pPr>
              <w:spacing w:after="0"/>
            </w:pPr>
            <w:r/>
            <w:r>
              <w:rPr>
                <w:rFonts w:ascii="Aptos" w:hAnsi="Aptos"/>
                <w:b w:val="0"/>
                <w:color w:val="222222"/>
                <w:sz w:val="16"/>
              </w:rPr>
              <w:t>Methanogenesis-risk adjustment</w:t>
            </w:r>
          </w:p>
        </w:tc>
        <w:tc>
          <w:tcPr>
            <w:tcW w:type="dxa" w:w="1800"/>
            <w:vAlign w:val="center"/>
          </w:tcPr>
          <w:p>
            <w:pPr>
              <w:spacing w:after="0"/>
            </w:pPr>
            <w:r/>
            <w:r>
              <w:rPr>
                <w:rFonts w:ascii="Aptos" w:hAnsi="Aptos"/>
                <w:b w:val="0"/>
                <w:color w:val="222222"/>
                <w:sz w:val="16"/>
              </w:rPr>
              <w:t>Laboratory report</w:t>
            </w:r>
          </w:p>
        </w:tc>
      </w:tr>
      <w:tr>
        <w:tc>
          <w:tcPr>
            <w:tcW w:type="dxa" w:w="2232"/>
            <w:vAlign w:val="center"/>
          </w:tcPr>
          <w:p>
            <w:pPr>
              <w:spacing w:after="0"/>
            </w:pPr>
            <w:r>
              <w:rPr>
                <w:b/>
              </w:rPr>
            </w:r>
            <w:r>
              <w:rPr>
                <w:rFonts w:ascii="Aptos" w:hAnsi="Aptos"/>
                <w:b w:val="0"/>
                <w:color w:val="222222"/>
                <w:sz w:val="16"/>
              </w:rPr>
              <w:t>Bulk density verification</w:t>
            </w:r>
          </w:p>
        </w:tc>
        <w:tc>
          <w:tcPr>
            <w:tcW w:type="dxa" w:w="3240"/>
            <w:vAlign w:val="center"/>
          </w:tcPr>
          <w:p>
            <w:pPr>
              <w:spacing w:after="0"/>
            </w:pPr>
            <w:r/>
            <w:r>
              <w:rPr>
                <w:rFonts w:ascii="Aptos" w:hAnsi="Aptos"/>
                <w:b w:val="0"/>
                <w:color w:val="222222"/>
                <w:sz w:val="16"/>
              </w:rPr>
              <w:t>g/cm³</w:t>
            </w:r>
          </w:p>
        </w:tc>
        <w:tc>
          <w:tcPr>
            <w:tcW w:type="dxa" w:w="3240"/>
            <w:vAlign w:val="center"/>
          </w:tcPr>
          <w:p>
            <w:pPr>
              <w:spacing w:after="0"/>
            </w:pPr>
            <w:r/>
            <w:r>
              <w:rPr>
                <w:rFonts w:ascii="Aptos" w:hAnsi="Aptos"/>
                <w:b w:val="0"/>
                <w:color w:val="222222"/>
                <w:sz w:val="16"/>
              </w:rPr>
              <w:t>SOC mass calculation</w:t>
            </w:r>
          </w:p>
        </w:tc>
        <w:tc>
          <w:tcPr>
            <w:tcW w:type="dxa" w:w="1800"/>
            <w:vAlign w:val="center"/>
          </w:tcPr>
          <w:p>
            <w:pPr>
              <w:spacing w:after="0"/>
            </w:pPr>
            <w:r/>
            <w:r>
              <w:rPr>
                <w:rFonts w:ascii="Aptos" w:hAnsi="Aptos"/>
                <w:b w:val="0"/>
                <w:color w:val="222222"/>
                <w:sz w:val="16"/>
              </w:rPr>
              <w:t>Core sample record</w:t>
            </w:r>
          </w:p>
        </w:tc>
      </w:tr>
      <w:tr>
        <w:tc>
          <w:tcPr>
            <w:tcW w:type="dxa" w:w="2232"/>
            <w:vAlign w:val="center"/>
          </w:tcPr>
          <w:p>
            <w:pPr>
              <w:spacing w:after="0"/>
            </w:pPr>
            <w:r>
              <w:rPr>
                <w:b/>
              </w:rPr>
            </w:r>
            <w:r>
              <w:rPr>
                <w:rFonts w:ascii="Aptos" w:hAnsi="Aptos"/>
                <w:b w:val="0"/>
                <w:color w:val="222222"/>
                <w:sz w:val="16"/>
              </w:rPr>
              <w:t>Energy reconciliation</w:t>
            </w:r>
          </w:p>
        </w:tc>
        <w:tc>
          <w:tcPr>
            <w:tcW w:type="dxa" w:w="3240"/>
            <w:vAlign w:val="center"/>
          </w:tcPr>
          <w:p>
            <w:pPr>
              <w:spacing w:after="0"/>
            </w:pPr>
            <w:r/>
            <w:r>
              <w:rPr>
                <w:rFonts w:ascii="Aptos" w:hAnsi="Aptos"/>
                <w:b w:val="0"/>
                <w:color w:val="222222"/>
                <w:sz w:val="16"/>
              </w:rPr>
              <w:t>Grid kWh, diesel L, generator records</w:t>
            </w:r>
          </w:p>
        </w:tc>
        <w:tc>
          <w:tcPr>
            <w:tcW w:type="dxa" w:w="3240"/>
            <w:vAlign w:val="center"/>
          </w:tcPr>
          <w:p>
            <w:pPr>
              <w:spacing w:after="0"/>
            </w:pPr>
            <w:r/>
            <w:r>
              <w:rPr>
                <w:rFonts w:ascii="Aptos" w:hAnsi="Aptos"/>
                <w:b w:val="0"/>
                <w:color w:val="222222"/>
                <w:sz w:val="16"/>
              </w:rPr>
              <w:t>Close Scope 2 / fuel data gaps</w:t>
            </w:r>
          </w:p>
        </w:tc>
        <w:tc>
          <w:tcPr>
            <w:tcW w:type="dxa" w:w="1800"/>
            <w:vAlign w:val="center"/>
          </w:tcPr>
          <w:p>
            <w:pPr>
              <w:spacing w:after="0"/>
            </w:pPr>
            <w:r/>
            <w:r>
              <w:rPr>
                <w:rFonts w:ascii="Aptos" w:hAnsi="Aptos"/>
                <w:b w:val="0"/>
                <w:color w:val="222222"/>
                <w:sz w:val="16"/>
              </w:rPr>
              <w:t>Bills/invoices</w:t>
            </w:r>
          </w:p>
        </w:tc>
      </w:tr>
      <w:tr>
        <w:tc>
          <w:tcPr>
            <w:tcW w:type="dxa" w:w="2232"/>
            <w:vAlign w:val="center"/>
          </w:tcPr>
          <w:p>
            <w:pPr>
              <w:spacing w:after="0"/>
            </w:pPr>
            <w:r>
              <w:rPr>
                <w:b/>
              </w:rPr>
            </w:r>
            <w:r>
              <w:rPr>
                <w:rFonts w:ascii="Aptos" w:hAnsi="Aptos"/>
                <w:b w:val="0"/>
                <w:color w:val="222222"/>
                <w:sz w:val="16"/>
              </w:rPr>
              <w:t>Feed stock reconciliation</w:t>
            </w:r>
          </w:p>
        </w:tc>
        <w:tc>
          <w:tcPr>
            <w:tcW w:type="dxa" w:w="3240"/>
            <w:vAlign w:val="center"/>
          </w:tcPr>
          <w:p>
            <w:pPr>
              <w:spacing w:after="0"/>
            </w:pPr>
            <w:r/>
            <w:r>
              <w:rPr>
                <w:rFonts w:ascii="Aptos" w:hAnsi="Aptos"/>
                <w:b w:val="0"/>
                <w:color w:val="222222"/>
                <w:sz w:val="16"/>
              </w:rPr>
              <w:t>Opening stock, purchases, closing stock</w:t>
            </w:r>
          </w:p>
        </w:tc>
        <w:tc>
          <w:tcPr>
            <w:tcW w:type="dxa" w:w="3240"/>
            <w:vAlign w:val="center"/>
          </w:tcPr>
          <w:p>
            <w:pPr>
              <w:spacing w:after="0"/>
            </w:pPr>
            <w:r/>
            <w:r>
              <w:rPr>
                <w:rFonts w:ascii="Aptos" w:hAnsi="Aptos"/>
                <w:b w:val="0"/>
                <w:color w:val="222222"/>
                <w:sz w:val="16"/>
              </w:rPr>
              <w:t>Actual feed used</w:t>
            </w:r>
          </w:p>
        </w:tc>
        <w:tc>
          <w:tcPr>
            <w:tcW w:type="dxa" w:w="1800"/>
            <w:vAlign w:val="center"/>
          </w:tcPr>
          <w:p>
            <w:pPr>
              <w:spacing w:after="0"/>
            </w:pPr>
            <w:r/>
            <w:r>
              <w:rPr>
                <w:rFonts w:ascii="Aptos" w:hAnsi="Aptos"/>
                <w:b w:val="0"/>
                <w:color w:val="222222"/>
                <w:sz w:val="16"/>
              </w:rPr>
              <w:t>Inventory + invoices</w:t>
            </w:r>
          </w:p>
        </w:tc>
      </w:tr>
      <w:tr>
        <w:tc>
          <w:tcPr>
            <w:tcW w:type="dxa" w:w="2232"/>
            <w:vAlign w:val="center"/>
          </w:tcPr>
          <w:p>
            <w:pPr>
              <w:spacing w:after="0"/>
            </w:pPr>
            <w:r>
              <w:rPr>
                <w:b/>
              </w:rPr>
            </w:r>
            <w:r>
              <w:rPr>
                <w:rFonts w:ascii="Aptos" w:hAnsi="Aptos"/>
                <w:b w:val="0"/>
                <w:color w:val="222222"/>
                <w:sz w:val="16"/>
              </w:rPr>
              <w:t>Management practice check</w:t>
            </w:r>
          </w:p>
        </w:tc>
        <w:tc>
          <w:tcPr>
            <w:tcW w:type="dxa" w:w="3240"/>
            <w:vAlign w:val="center"/>
          </w:tcPr>
          <w:p>
            <w:pPr>
              <w:spacing w:after="0"/>
            </w:pPr>
            <w:r/>
            <w:r>
              <w:rPr>
                <w:rFonts w:ascii="Aptos" w:hAnsi="Aptos"/>
                <w:b w:val="0"/>
                <w:color w:val="222222"/>
                <w:sz w:val="16"/>
              </w:rPr>
              <w:t>Feeding window, Punch Bag status, C/N management</w:t>
            </w:r>
          </w:p>
        </w:tc>
        <w:tc>
          <w:tcPr>
            <w:tcW w:type="dxa" w:w="3240"/>
            <w:vAlign w:val="center"/>
          </w:tcPr>
          <w:p>
            <w:pPr>
              <w:spacing w:after="0"/>
            </w:pPr>
            <w:r/>
            <w:r>
              <w:rPr>
                <w:rFonts w:ascii="Aptos" w:hAnsi="Aptos"/>
                <w:b w:val="0"/>
                <w:color w:val="222222"/>
                <w:sz w:val="16"/>
              </w:rPr>
              <w:t>Scenario evidence</w:t>
            </w:r>
          </w:p>
        </w:tc>
        <w:tc>
          <w:tcPr>
            <w:tcW w:type="dxa" w:w="1800"/>
            <w:vAlign w:val="center"/>
          </w:tcPr>
          <w:p>
            <w:pPr>
              <w:spacing w:after="0"/>
            </w:pPr>
            <w:r/>
            <w:r>
              <w:rPr>
                <w:rFonts w:ascii="Aptos" w:hAnsi="Aptos"/>
                <w:b w:val="0"/>
                <w:color w:val="222222"/>
                <w:sz w:val="16"/>
              </w:rPr>
              <w:t>Farm log</w:t>
            </w:r>
          </w:p>
        </w:tc>
      </w:tr>
    </w:tbl>
    <w:p>
      <w:pPr>
        <w:spacing w:after="20"/>
      </w:pPr>
    </w:p>
    <w:p>
      <w:pPr>
        <w:pStyle w:val="Heading2"/>
      </w:pPr>
      <w:r>
        <w:t>1.5 Harvest &amp; Post-Harvest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rFonts w:ascii="Aptos" w:hAnsi="Aptos"/>
                <w:b/>
                <w:color w:val="FFFFFF"/>
                <w:sz w:val="17"/>
              </w:rPr>
              <w:t>Input</w:t>
            </w:r>
          </w:p>
        </w:tc>
        <w:tc>
          <w:tcPr>
            <w:tcW w:type="dxa" w:w="1584"/>
            <w:vAlign w:val="center"/>
            <w:shd w:fill="17365D"/>
          </w:tcPr>
          <w:p>
            <w:pPr>
              <w:spacing w:after="0"/>
            </w:pPr>
            <w:r/>
            <w:r>
              <w:rPr>
                <w:rFonts w:ascii="Aptos" w:hAnsi="Aptos"/>
                <w:b/>
                <w:color w:val="FFFFFF"/>
                <w:sz w:val="17"/>
              </w:rPr>
              <w:t>Unit</w:t>
            </w:r>
          </w:p>
        </w:tc>
        <w:tc>
          <w:tcPr>
            <w:tcW w:type="dxa" w:w="3888"/>
            <w:vAlign w:val="center"/>
            <w:shd w:fill="17365D"/>
          </w:tcPr>
          <w:p>
            <w:pPr>
              <w:spacing w:after="0"/>
            </w:pPr>
            <w:r/>
            <w:r>
              <w:rPr>
                <w:rFonts w:ascii="Aptos" w:hAnsi="Aptos"/>
                <w:b/>
                <w:color w:val="FFFFFF"/>
                <w:sz w:val="17"/>
              </w:rPr>
              <w:t>Requirement</w:t>
            </w:r>
          </w:p>
        </w:tc>
        <w:tc>
          <w:tcPr>
            <w:tcW w:type="dxa" w:w="2088"/>
            <w:vAlign w:val="center"/>
            <w:shd w:fill="17365D"/>
          </w:tcPr>
          <w:p>
            <w:pPr>
              <w:spacing w:after="0"/>
            </w:pPr>
            <w:r/>
            <w:r>
              <w:rPr>
                <w:rFonts w:ascii="Aptos" w:hAnsi="Aptos"/>
                <w:b/>
                <w:color w:val="FFFFFF"/>
                <w:sz w:val="17"/>
              </w:rPr>
              <w:t>Evidence</w:t>
            </w:r>
          </w:p>
        </w:tc>
      </w:tr>
      <w:tr>
        <w:tc>
          <w:tcPr>
            <w:tcW w:type="dxa" w:w="2520"/>
            <w:vAlign w:val="center"/>
          </w:tcPr>
          <w:p>
            <w:pPr>
              <w:spacing w:after="0"/>
            </w:pPr>
            <w:r>
              <w:rPr>
                <w:b/>
              </w:rPr>
            </w:r>
            <w:r>
              <w:rPr>
                <w:rFonts w:ascii="Aptos" w:hAnsi="Aptos"/>
                <w:b w:val="0"/>
                <w:color w:val="222222"/>
                <w:sz w:val="16"/>
              </w:rPr>
              <w:t>Actual harvest weight</w:t>
            </w:r>
          </w:p>
        </w:tc>
        <w:tc>
          <w:tcPr>
            <w:tcW w:type="dxa" w:w="1584"/>
            <w:vAlign w:val="center"/>
          </w:tcPr>
          <w:p>
            <w:pPr>
              <w:spacing w:after="0"/>
            </w:pPr>
            <w:r/>
            <w:r>
              <w:rPr>
                <w:rFonts w:ascii="Aptos" w:hAnsi="Aptos"/>
                <w:b w:val="0"/>
                <w:color w:val="222222"/>
                <w:sz w:val="16"/>
              </w:rPr>
              <w:t>kg</w:t>
            </w:r>
          </w:p>
        </w:tc>
        <w:tc>
          <w:tcPr>
            <w:tcW w:type="dxa" w:w="3888"/>
            <w:vAlign w:val="center"/>
          </w:tcPr>
          <w:p>
            <w:pPr>
              <w:spacing w:after="0"/>
            </w:pPr>
            <w:r/>
            <w:r>
              <w:rPr>
                <w:rFonts w:ascii="Aptos" w:hAnsi="Aptos"/>
                <w:b w:val="0"/>
                <w:color w:val="222222"/>
                <w:sz w:val="16"/>
              </w:rPr>
              <w:t>Gross and/or net harvest quantity with clear basis</w:t>
            </w:r>
          </w:p>
        </w:tc>
        <w:tc>
          <w:tcPr>
            <w:tcW w:type="dxa" w:w="2088"/>
            <w:vAlign w:val="center"/>
          </w:tcPr>
          <w:p>
            <w:pPr>
              <w:spacing w:after="0"/>
            </w:pPr>
            <w:r/>
            <w:r>
              <w:rPr>
                <w:rFonts w:ascii="Aptos" w:hAnsi="Aptos"/>
                <w:b w:val="0"/>
                <w:color w:val="222222"/>
                <w:sz w:val="16"/>
              </w:rPr>
              <w:t>Harvest register / weighbridge</w:t>
            </w:r>
          </w:p>
        </w:tc>
      </w:tr>
      <w:tr>
        <w:tc>
          <w:tcPr>
            <w:tcW w:type="dxa" w:w="2520"/>
            <w:vAlign w:val="center"/>
          </w:tcPr>
          <w:p>
            <w:pPr>
              <w:spacing w:after="0"/>
            </w:pPr>
            <w:r>
              <w:rPr>
                <w:b/>
              </w:rPr>
            </w:r>
            <w:r>
              <w:rPr>
                <w:rFonts w:ascii="Aptos" w:hAnsi="Aptos"/>
                <w:b w:val="0"/>
                <w:color w:val="222222"/>
                <w:sz w:val="16"/>
              </w:rPr>
              <w:t>Species-wise harvest</w:t>
            </w:r>
          </w:p>
        </w:tc>
        <w:tc>
          <w:tcPr>
            <w:tcW w:type="dxa" w:w="1584"/>
            <w:vAlign w:val="center"/>
          </w:tcPr>
          <w:p>
            <w:pPr>
              <w:spacing w:after="0"/>
            </w:pPr>
            <w:r/>
            <w:r>
              <w:rPr>
                <w:rFonts w:ascii="Aptos" w:hAnsi="Aptos"/>
                <w:b w:val="0"/>
                <w:color w:val="222222"/>
                <w:sz w:val="16"/>
              </w:rPr>
              <w:t>kg</w:t>
            </w:r>
          </w:p>
        </w:tc>
        <w:tc>
          <w:tcPr>
            <w:tcW w:type="dxa" w:w="3888"/>
            <w:vAlign w:val="center"/>
          </w:tcPr>
          <w:p>
            <w:pPr>
              <w:spacing w:after="0"/>
            </w:pPr>
            <w:r/>
            <w:r>
              <w:rPr>
                <w:rFonts w:ascii="Aptos" w:hAnsi="Aptos"/>
                <w:b w:val="0"/>
                <w:color w:val="222222"/>
                <w:sz w:val="16"/>
              </w:rPr>
              <w:t>Preferred</w:t>
            </w:r>
          </w:p>
        </w:tc>
        <w:tc>
          <w:tcPr>
            <w:tcW w:type="dxa" w:w="2088"/>
            <w:vAlign w:val="center"/>
          </w:tcPr>
          <w:p>
            <w:pPr>
              <w:spacing w:after="0"/>
            </w:pPr>
            <w:r/>
            <w:r>
              <w:rPr>
                <w:rFonts w:ascii="Aptos" w:hAnsi="Aptos"/>
                <w:b w:val="0"/>
                <w:color w:val="222222"/>
                <w:sz w:val="16"/>
              </w:rPr>
              <w:t>Harvest register</w:t>
            </w:r>
          </w:p>
        </w:tc>
      </w:tr>
      <w:tr>
        <w:tc>
          <w:tcPr>
            <w:tcW w:type="dxa" w:w="2520"/>
            <w:vAlign w:val="center"/>
          </w:tcPr>
          <w:p>
            <w:pPr>
              <w:spacing w:after="0"/>
            </w:pPr>
            <w:r>
              <w:rPr>
                <w:b/>
              </w:rPr>
            </w:r>
            <w:r>
              <w:rPr>
                <w:rFonts w:ascii="Aptos" w:hAnsi="Aptos"/>
                <w:b w:val="0"/>
                <w:color w:val="222222"/>
                <w:sz w:val="16"/>
              </w:rPr>
              <w:t>Harvest date</w:t>
            </w:r>
          </w:p>
        </w:tc>
        <w:tc>
          <w:tcPr>
            <w:tcW w:type="dxa" w:w="1584"/>
            <w:vAlign w:val="center"/>
          </w:tcPr>
          <w:p>
            <w:pPr>
              <w:spacing w:after="0"/>
            </w:pPr>
            <w:r/>
            <w:r>
              <w:rPr>
                <w:rFonts w:ascii="Aptos" w:hAnsi="Aptos"/>
                <w:b w:val="0"/>
                <w:color w:val="222222"/>
                <w:sz w:val="16"/>
              </w:rPr>
              <w:t>date</w:t>
            </w:r>
          </w:p>
        </w:tc>
        <w:tc>
          <w:tcPr>
            <w:tcW w:type="dxa" w:w="3888"/>
            <w:vAlign w:val="center"/>
          </w:tcPr>
          <w:p>
            <w:pPr>
              <w:spacing w:after="0"/>
            </w:pPr>
            <w:r/>
            <w:r>
              <w:rPr>
                <w:rFonts w:ascii="Aptos" w:hAnsi="Aptos"/>
                <w:b w:val="0"/>
                <w:color w:val="222222"/>
                <w:sz w:val="16"/>
              </w:rPr>
              <w:t>Required</w:t>
            </w:r>
          </w:p>
        </w:tc>
        <w:tc>
          <w:tcPr>
            <w:tcW w:type="dxa" w:w="2088"/>
            <w:vAlign w:val="center"/>
          </w:tcPr>
          <w:p>
            <w:pPr>
              <w:spacing w:after="0"/>
            </w:pPr>
            <w:r/>
            <w:r>
              <w:rPr>
                <w:rFonts w:ascii="Aptos" w:hAnsi="Aptos"/>
                <w:b w:val="0"/>
                <w:color w:val="222222"/>
                <w:sz w:val="16"/>
              </w:rPr>
              <w:t>Harvest record</w:t>
            </w:r>
          </w:p>
        </w:tc>
      </w:tr>
      <w:tr>
        <w:tc>
          <w:tcPr>
            <w:tcW w:type="dxa" w:w="2520"/>
            <w:vAlign w:val="center"/>
          </w:tcPr>
          <w:p>
            <w:pPr>
              <w:spacing w:after="0"/>
            </w:pPr>
            <w:r>
              <w:rPr>
                <w:b/>
              </w:rPr>
            </w:r>
            <w:r>
              <w:rPr>
                <w:rFonts w:ascii="Aptos" w:hAnsi="Aptos"/>
                <w:b w:val="0"/>
                <w:color w:val="222222"/>
                <w:sz w:val="16"/>
              </w:rPr>
              <w:t>Actual feed used</w:t>
            </w:r>
          </w:p>
        </w:tc>
        <w:tc>
          <w:tcPr>
            <w:tcW w:type="dxa" w:w="1584"/>
            <w:vAlign w:val="center"/>
          </w:tcPr>
          <w:p>
            <w:pPr>
              <w:spacing w:after="0"/>
            </w:pPr>
            <w:r/>
            <w:r>
              <w:rPr>
                <w:rFonts w:ascii="Aptos" w:hAnsi="Aptos"/>
                <w:b w:val="0"/>
                <w:color w:val="222222"/>
                <w:sz w:val="16"/>
              </w:rPr>
              <w:t>kg</w:t>
            </w:r>
          </w:p>
        </w:tc>
        <w:tc>
          <w:tcPr>
            <w:tcW w:type="dxa" w:w="3888"/>
            <w:vAlign w:val="center"/>
          </w:tcPr>
          <w:p>
            <w:pPr>
              <w:spacing w:after="0"/>
            </w:pPr>
            <w:r/>
            <w:r>
              <w:rPr>
                <w:rFonts w:ascii="Aptos" w:hAnsi="Aptos"/>
                <w:b w:val="0"/>
                <w:color w:val="222222"/>
                <w:sz w:val="16"/>
              </w:rPr>
              <w:t>Final crop reconciliation</w:t>
            </w:r>
          </w:p>
        </w:tc>
        <w:tc>
          <w:tcPr>
            <w:tcW w:type="dxa" w:w="2088"/>
            <w:vAlign w:val="center"/>
          </w:tcPr>
          <w:p>
            <w:pPr>
              <w:spacing w:after="0"/>
            </w:pPr>
            <w:r/>
            <w:r>
              <w:rPr>
                <w:rFonts w:ascii="Aptos" w:hAnsi="Aptos"/>
                <w:b w:val="0"/>
                <w:color w:val="222222"/>
                <w:sz w:val="16"/>
              </w:rPr>
              <w:t>Feed inventory + invoices</w:t>
            </w:r>
          </w:p>
        </w:tc>
      </w:tr>
      <w:tr>
        <w:tc>
          <w:tcPr>
            <w:tcW w:type="dxa" w:w="2520"/>
            <w:vAlign w:val="center"/>
          </w:tcPr>
          <w:p>
            <w:pPr>
              <w:spacing w:after="0"/>
            </w:pPr>
            <w:r>
              <w:rPr>
                <w:b/>
              </w:rPr>
            </w:r>
            <w:r>
              <w:rPr>
                <w:rFonts w:ascii="Aptos" w:hAnsi="Aptos"/>
                <w:b w:val="0"/>
                <w:color w:val="222222"/>
                <w:sz w:val="16"/>
              </w:rPr>
              <w:t>Total feed invoices</w:t>
            </w:r>
          </w:p>
        </w:tc>
        <w:tc>
          <w:tcPr>
            <w:tcW w:type="dxa" w:w="1584"/>
            <w:vAlign w:val="center"/>
          </w:tcPr>
          <w:p>
            <w:pPr>
              <w:spacing w:after="0"/>
            </w:pPr>
            <w:r/>
            <w:r>
              <w:rPr>
                <w:rFonts w:ascii="Aptos" w:hAnsi="Aptos"/>
                <w:b w:val="0"/>
                <w:color w:val="222222"/>
                <w:sz w:val="16"/>
              </w:rPr>
              <w:t>kg and INR</w:t>
            </w:r>
          </w:p>
        </w:tc>
        <w:tc>
          <w:tcPr>
            <w:tcW w:type="dxa" w:w="3888"/>
            <w:vAlign w:val="center"/>
          </w:tcPr>
          <w:p>
            <w:pPr>
              <w:spacing w:after="0"/>
            </w:pPr>
            <w:r/>
            <w:r>
              <w:rPr>
                <w:rFonts w:ascii="Aptos" w:hAnsi="Aptos"/>
                <w:b w:val="0"/>
                <w:color w:val="222222"/>
                <w:sz w:val="16"/>
              </w:rPr>
              <w:t>All relevant crop purchases</w:t>
            </w:r>
          </w:p>
        </w:tc>
        <w:tc>
          <w:tcPr>
            <w:tcW w:type="dxa" w:w="2088"/>
            <w:vAlign w:val="center"/>
          </w:tcPr>
          <w:p>
            <w:pPr>
              <w:spacing w:after="0"/>
            </w:pPr>
            <w:r/>
            <w:r>
              <w:rPr>
                <w:rFonts w:ascii="Aptos" w:hAnsi="Aptos"/>
                <w:b w:val="0"/>
                <w:color w:val="222222"/>
                <w:sz w:val="16"/>
              </w:rPr>
              <w:t>Invoices</w:t>
            </w:r>
          </w:p>
        </w:tc>
      </w:tr>
      <w:tr>
        <w:tc>
          <w:tcPr>
            <w:tcW w:type="dxa" w:w="2520"/>
            <w:vAlign w:val="center"/>
          </w:tcPr>
          <w:p>
            <w:pPr>
              <w:spacing w:after="0"/>
            </w:pPr>
            <w:r>
              <w:rPr>
                <w:b/>
              </w:rPr>
            </w:r>
            <w:r>
              <w:rPr>
                <w:rFonts w:ascii="Aptos" w:hAnsi="Aptos"/>
                <w:b w:val="0"/>
                <w:color w:val="222222"/>
                <w:sz w:val="16"/>
              </w:rPr>
              <w:t>Post-harvest SOC</w:t>
            </w:r>
          </w:p>
        </w:tc>
        <w:tc>
          <w:tcPr>
            <w:tcW w:type="dxa" w:w="1584"/>
            <w:vAlign w:val="center"/>
          </w:tcPr>
          <w:p>
            <w:pPr>
              <w:spacing w:after="0"/>
            </w:pPr>
            <w:r/>
            <w:r>
              <w:rPr>
                <w:rFonts w:ascii="Aptos" w:hAnsi="Aptos"/>
                <w:b w:val="0"/>
                <w:color w:val="222222"/>
                <w:sz w:val="16"/>
              </w:rPr>
              <w:t>%</w:t>
            </w:r>
          </w:p>
        </w:tc>
        <w:tc>
          <w:tcPr>
            <w:tcW w:type="dxa" w:w="3888"/>
            <w:vAlign w:val="center"/>
          </w:tcPr>
          <w:p>
            <w:pPr>
              <w:spacing w:after="0"/>
            </w:pPr>
            <w:r/>
            <w:r>
              <w:rPr>
                <w:rFonts w:ascii="Aptos" w:hAnsi="Aptos"/>
                <w:b w:val="0"/>
                <w:color w:val="222222"/>
                <w:sz w:val="16"/>
              </w:rPr>
              <w:t>Same sampling framework as baseline</w:t>
            </w:r>
          </w:p>
        </w:tc>
        <w:tc>
          <w:tcPr>
            <w:tcW w:type="dxa" w:w="2088"/>
            <w:vAlign w:val="center"/>
          </w:tcPr>
          <w:p>
            <w:pPr>
              <w:spacing w:after="0"/>
            </w:pPr>
            <w:r/>
            <w:r>
              <w:rPr>
                <w:rFonts w:ascii="Aptos" w:hAnsi="Aptos"/>
                <w:b w:val="0"/>
                <w:color w:val="222222"/>
                <w:sz w:val="16"/>
              </w:rPr>
              <w:t>Laboratory report</w:t>
            </w:r>
          </w:p>
        </w:tc>
      </w:tr>
      <w:tr>
        <w:tc>
          <w:tcPr>
            <w:tcW w:type="dxa" w:w="2520"/>
            <w:vAlign w:val="center"/>
          </w:tcPr>
          <w:p>
            <w:pPr>
              <w:spacing w:after="0"/>
            </w:pPr>
            <w:r>
              <w:rPr>
                <w:b/>
              </w:rPr>
            </w:r>
            <w:r>
              <w:rPr>
                <w:rFonts w:ascii="Aptos" w:hAnsi="Aptos"/>
                <w:b w:val="0"/>
                <w:color w:val="222222"/>
                <w:sz w:val="16"/>
              </w:rPr>
              <w:t>Post-harvest soil C:N</w:t>
            </w:r>
          </w:p>
        </w:tc>
        <w:tc>
          <w:tcPr>
            <w:tcW w:type="dxa" w:w="1584"/>
            <w:vAlign w:val="center"/>
          </w:tcPr>
          <w:p>
            <w:pPr>
              <w:spacing w:after="0"/>
            </w:pPr>
            <w:r/>
            <w:r>
              <w:rPr>
                <w:rFonts w:ascii="Aptos" w:hAnsi="Aptos"/>
                <w:b w:val="0"/>
                <w:color w:val="222222"/>
                <w:sz w:val="16"/>
              </w:rPr>
              <w:t>ratio</w:t>
            </w:r>
          </w:p>
        </w:tc>
        <w:tc>
          <w:tcPr>
            <w:tcW w:type="dxa" w:w="3888"/>
            <w:vAlign w:val="center"/>
          </w:tcPr>
          <w:p>
            <w:pPr>
              <w:spacing w:after="0"/>
            </w:pPr>
            <w:r/>
            <w:r>
              <w:rPr>
                <w:rFonts w:ascii="Aptos" w:hAnsi="Aptos"/>
                <w:b w:val="0"/>
                <w:color w:val="222222"/>
                <w:sz w:val="16"/>
              </w:rPr>
              <w:t>Required where risk adjustment is used</w:t>
            </w:r>
          </w:p>
        </w:tc>
        <w:tc>
          <w:tcPr>
            <w:tcW w:type="dxa" w:w="2088"/>
            <w:vAlign w:val="center"/>
          </w:tcPr>
          <w:p>
            <w:pPr>
              <w:spacing w:after="0"/>
            </w:pPr>
            <w:r/>
            <w:r>
              <w:rPr>
                <w:rFonts w:ascii="Aptos" w:hAnsi="Aptos"/>
                <w:b w:val="0"/>
                <w:color w:val="222222"/>
                <w:sz w:val="16"/>
              </w:rPr>
              <w:t>Laboratory report</w:t>
            </w:r>
          </w:p>
        </w:tc>
      </w:tr>
      <w:tr>
        <w:tc>
          <w:tcPr>
            <w:tcW w:type="dxa" w:w="2520"/>
            <w:vAlign w:val="center"/>
          </w:tcPr>
          <w:p>
            <w:pPr>
              <w:spacing w:after="0"/>
            </w:pPr>
            <w:r>
              <w:rPr>
                <w:b/>
              </w:rPr>
            </w:r>
            <w:r>
              <w:rPr>
                <w:rFonts w:ascii="Aptos" w:hAnsi="Aptos"/>
                <w:b w:val="0"/>
                <w:color w:val="222222"/>
                <w:sz w:val="16"/>
              </w:rPr>
              <w:t>Post-harvest bulk density</w:t>
            </w:r>
          </w:p>
        </w:tc>
        <w:tc>
          <w:tcPr>
            <w:tcW w:type="dxa" w:w="1584"/>
            <w:vAlign w:val="center"/>
          </w:tcPr>
          <w:p>
            <w:pPr>
              <w:spacing w:after="0"/>
            </w:pPr>
            <w:r/>
            <w:r>
              <w:rPr>
                <w:rFonts w:ascii="Aptos" w:hAnsi="Aptos"/>
                <w:b w:val="0"/>
                <w:color w:val="222222"/>
                <w:sz w:val="16"/>
              </w:rPr>
              <w:t>g/cm³</w:t>
            </w:r>
          </w:p>
        </w:tc>
        <w:tc>
          <w:tcPr>
            <w:tcW w:type="dxa" w:w="3888"/>
            <w:vAlign w:val="center"/>
          </w:tcPr>
          <w:p>
            <w:pPr>
              <w:spacing w:after="0"/>
            </w:pPr>
            <w:r/>
            <w:r>
              <w:rPr>
                <w:rFonts w:ascii="Aptos" w:hAnsi="Aptos"/>
                <w:b w:val="0"/>
                <w:color w:val="222222"/>
                <w:sz w:val="16"/>
              </w:rPr>
              <w:t>Required if changed from baseline</w:t>
            </w:r>
          </w:p>
        </w:tc>
        <w:tc>
          <w:tcPr>
            <w:tcW w:type="dxa" w:w="2088"/>
            <w:vAlign w:val="center"/>
          </w:tcPr>
          <w:p>
            <w:pPr>
              <w:spacing w:after="0"/>
            </w:pPr>
            <w:r/>
            <w:r>
              <w:rPr>
                <w:rFonts w:ascii="Aptos" w:hAnsi="Aptos"/>
                <w:b w:val="0"/>
                <w:color w:val="222222"/>
                <w:sz w:val="16"/>
              </w:rPr>
              <w:t>Laboratory/field record</w:t>
            </w:r>
          </w:p>
        </w:tc>
      </w:tr>
      <w:tr>
        <w:tc>
          <w:tcPr>
            <w:tcW w:type="dxa" w:w="2520"/>
            <w:vAlign w:val="center"/>
          </w:tcPr>
          <w:p>
            <w:pPr>
              <w:spacing w:after="0"/>
            </w:pPr>
            <w:r>
              <w:rPr>
                <w:b/>
              </w:rPr>
            </w:r>
            <w:r>
              <w:rPr>
                <w:rFonts w:ascii="Aptos" w:hAnsi="Aptos"/>
                <w:b w:val="0"/>
                <w:color w:val="222222"/>
                <w:sz w:val="16"/>
              </w:rPr>
              <w:t>Total energy</w:t>
            </w:r>
          </w:p>
        </w:tc>
        <w:tc>
          <w:tcPr>
            <w:tcW w:type="dxa" w:w="1584"/>
            <w:vAlign w:val="center"/>
          </w:tcPr>
          <w:p>
            <w:pPr>
              <w:spacing w:after="0"/>
            </w:pPr>
            <w:r/>
            <w:r>
              <w:rPr>
                <w:rFonts w:ascii="Aptos" w:hAnsi="Aptos"/>
                <w:b w:val="0"/>
                <w:color w:val="222222"/>
                <w:sz w:val="16"/>
              </w:rPr>
              <w:t>kWh / L</w:t>
            </w:r>
          </w:p>
        </w:tc>
        <w:tc>
          <w:tcPr>
            <w:tcW w:type="dxa" w:w="3888"/>
            <w:vAlign w:val="center"/>
          </w:tcPr>
          <w:p>
            <w:pPr>
              <w:spacing w:after="0"/>
            </w:pPr>
            <w:r/>
            <w:r>
              <w:rPr>
                <w:rFonts w:ascii="Aptos" w:hAnsi="Aptos"/>
                <w:b w:val="0"/>
                <w:color w:val="222222"/>
                <w:sz w:val="16"/>
              </w:rPr>
              <w:t>Final reconciliation</w:t>
            </w:r>
          </w:p>
        </w:tc>
        <w:tc>
          <w:tcPr>
            <w:tcW w:type="dxa" w:w="2088"/>
            <w:vAlign w:val="center"/>
          </w:tcPr>
          <w:p>
            <w:pPr>
              <w:spacing w:after="0"/>
            </w:pPr>
            <w:r/>
            <w:r>
              <w:rPr>
                <w:rFonts w:ascii="Aptos" w:hAnsi="Aptos"/>
                <w:b w:val="0"/>
                <w:color w:val="222222"/>
                <w:sz w:val="16"/>
              </w:rPr>
              <w:t>Bills/fuel records</w:t>
            </w:r>
          </w:p>
        </w:tc>
      </w:tr>
      <w:tr>
        <w:tc>
          <w:tcPr>
            <w:tcW w:type="dxa" w:w="2520"/>
            <w:vAlign w:val="center"/>
          </w:tcPr>
          <w:p>
            <w:pPr>
              <w:spacing w:after="0"/>
            </w:pPr>
            <w:r>
              <w:rPr>
                <w:b/>
              </w:rPr>
            </w:r>
            <w:r>
              <w:rPr>
                <w:rFonts w:ascii="Aptos" w:hAnsi="Aptos"/>
                <w:b w:val="0"/>
                <w:color w:val="222222"/>
                <w:sz w:val="16"/>
              </w:rPr>
              <w:t>Evidence archive</w:t>
            </w:r>
          </w:p>
        </w:tc>
        <w:tc>
          <w:tcPr>
            <w:tcW w:type="dxa" w:w="1584"/>
            <w:vAlign w:val="center"/>
          </w:tcPr>
          <w:p>
            <w:pPr>
              <w:spacing w:after="0"/>
            </w:pPr>
            <w:r/>
            <w:r>
              <w:rPr>
                <w:rFonts w:ascii="Aptos" w:hAnsi="Aptos"/>
                <w:b w:val="0"/>
                <w:color w:val="222222"/>
                <w:sz w:val="16"/>
              </w:rPr>
              <w:t>file/reference IDs</w:t>
            </w:r>
          </w:p>
        </w:tc>
        <w:tc>
          <w:tcPr>
            <w:tcW w:type="dxa" w:w="3888"/>
            <w:vAlign w:val="center"/>
          </w:tcPr>
          <w:p>
            <w:pPr>
              <w:spacing w:after="0"/>
            </w:pPr>
            <w:r/>
            <w:r>
              <w:rPr>
                <w:rFonts w:ascii="Aptos" w:hAnsi="Aptos"/>
                <w:b w:val="0"/>
                <w:color w:val="222222"/>
                <w:sz w:val="16"/>
              </w:rPr>
              <w:t>Link all major records</w:t>
            </w:r>
          </w:p>
        </w:tc>
        <w:tc>
          <w:tcPr>
            <w:tcW w:type="dxa" w:w="2088"/>
            <w:vAlign w:val="center"/>
          </w:tcPr>
          <w:p>
            <w:pPr>
              <w:spacing w:after="0"/>
            </w:pPr>
            <w:r/>
            <w:r>
              <w:rPr>
                <w:rFonts w:ascii="Aptos" w:hAnsi="Aptos"/>
                <w:b w:val="0"/>
                <w:color w:val="222222"/>
                <w:sz w:val="16"/>
              </w:rPr>
              <w:t>Digital audit folder</w:t>
            </w:r>
          </w:p>
        </w:tc>
      </w:tr>
    </w:tbl>
    <w:p>
      <w:pPr>
        <w:spacing w:after="20"/>
      </w:pPr>
    </w:p>
    <w:p>
      <w:pPr>
        <w:pStyle w:val="Heading2"/>
      </w:pPr>
      <w:r>
        <w:t>1.6 Feed Formulation Inputs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656"/>
            <w:vAlign w:val="center"/>
            <w:shd w:fill="17365D"/>
          </w:tcPr>
          <w:p>
            <w:pPr>
              <w:spacing w:after="0"/>
            </w:pPr>
            <w:r/>
            <w:r>
              <w:rPr>
                <w:rFonts w:ascii="Aptos" w:hAnsi="Aptos"/>
                <w:b/>
                <w:color w:val="FFFFFF"/>
                <w:sz w:val="17"/>
              </w:rPr>
              <w:t>Ingredient</w:t>
            </w:r>
          </w:p>
        </w:tc>
        <w:tc>
          <w:tcPr>
            <w:tcW w:type="dxa" w:w="3024"/>
            <w:vAlign w:val="center"/>
            <w:shd w:fill="17365D"/>
          </w:tcPr>
          <w:p>
            <w:pPr>
              <w:spacing w:after="0"/>
            </w:pPr>
            <w:r/>
            <w:r>
              <w:rPr>
                <w:rFonts w:ascii="Aptos" w:hAnsi="Aptos"/>
                <w:b/>
                <w:color w:val="FFFFFF"/>
                <w:sz w:val="17"/>
              </w:rPr>
              <w:t>Required input</w:t>
            </w:r>
          </w:p>
        </w:tc>
        <w:tc>
          <w:tcPr>
            <w:tcW w:type="dxa" w:w="1440"/>
            <w:vAlign w:val="center"/>
            <w:shd w:fill="17365D"/>
          </w:tcPr>
          <w:p>
            <w:pPr>
              <w:spacing w:after="0"/>
            </w:pPr>
            <w:r/>
            <w:r>
              <w:rPr>
                <w:rFonts w:ascii="Aptos" w:hAnsi="Aptos"/>
                <w:b/>
                <w:color w:val="FFFFFF"/>
                <w:sz w:val="17"/>
              </w:rPr>
              <w:t>Unit</w:t>
            </w:r>
          </w:p>
        </w:tc>
        <w:tc>
          <w:tcPr>
            <w:tcW w:type="dxa" w:w="2232"/>
            <w:vAlign w:val="center"/>
            <w:shd w:fill="17365D"/>
          </w:tcPr>
          <w:p>
            <w:pPr>
              <w:spacing w:after="0"/>
            </w:pPr>
            <w:r/>
            <w:r>
              <w:rPr>
                <w:rFonts w:ascii="Aptos" w:hAnsi="Aptos"/>
                <w:b/>
                <w:color w:val="FFFFFF"/>
                <w:sz w:val="17"/>
              </w:rPr>
              <w:t>Evidence</w:t>
            </w:r>
          </w:p>
        </w:tc>
        <w:tc>
          <w:tcPr>
            <w:tcW w:type="dxa" w:w="2880"/>
            <w:vAlign w:val="center"/>
            <w:shd w:fill="17365D"/>
          </w:tcPr>
          <w:p>
            <w:pPr>
              <w:spacing w:after="0"/>
            </w:pPr>
            <w:r/>
            <w:r>
              <w:rPr>
                <w:rFonts w:ascii="Aptos" w:hAnsi="Aptos"/>
                <w:b/>
                <w:color w:val="FFFFFF"/>
                <w:sz w:val="17"/>
              </w:rPr>
              <w:t>Calculation use</w:t>
            </w:r>
          </w:p>
        </w:tc>
      </w:tr>
      <w:tr>
        <w:tc>
          <w:tcPr>
            <w:tcW w:type="dxa" w:w="1656"/>
            <w:vAlign w:val="center"/>
          </w:tcPr>
          <w:p>
            <w:pPr>
              <w:spacing w:after="0"/>
            </w:pPr>
            <w:r>
              <w:rPr>
                <w:b/>
              </w:rPr>
            </w:r>
            <w:r>
              <w:rPr>
                <w:rFonts w:ascii="Aptos" w:hAnsi="Aptos"/>
                <w:b w:val="0"/>
                <w:color w:val="222222"/>
                <w:sz w:val="16"/>
              </w:rPr>
              <w:t>DOB</w:t>
            </w:r>
          </w:p>
        </w:tc>
        <w:tc>
          <w:tcPr>
            <w:tcW w:type="dxa" w:w="3024"/>
            <w:vAlign w:val="center"/>
          </w:tcPr>
          <w:p>
            <w:pPr>
              <w:spacing w:after="0"/>
            </w:pPr>
            <w:r/>
            <w:r>
              <w:rPr>
                <w:rFonts w:ascii="Aptos" w:hAnsi="Aptos"/>
                <w:b w:val="0"/>
                <w:color w:val="222222"/>
                <w:sz w:val="16"/>
              </w:rPr>
              <w:t>Actual purchased quantity</w:t>
            </w:r>
          </w:p>
        </w:tc>
        <w:tc>
          <w:tcPr>
            <w:tcW w:type="dxa" w:w="1440"/>
            <w:vAlign w:val="center"/>
          </w:tcPr>
          <w:p>
            <w:pPr>
              <w:spacing w:after="0"/>
            </w:pPr>
            <w:r/>
            <w:r>
              <w:rPr>
                <w:rFonts w:ascii="Aptos" w:hAnsi="Aptos"/>
                <w:b w:val="0"/>
                <w:color w:val="222222"/>
                <w:sz w:val="16"/>
              </w:rPr>
              <w:t>kg</w:t>
            </w:r>
          </w:p>
        </w:tc>
        <w:tc>
          <w:tcPr>
            <w:tcW w:type="dxa" w:w="2232"/>
            <w:vAlign w:val="center"/>
          </w:tcPr>
          <w:p>
            <w:pPr>
              <w:spacing w:after="0"/>
            </w:pPr>
            <w:r/>
            <w:r>
              <w:rPr>
                <w:rFonts w:ascii="Aptos" w:hAnsi="Aptos"/>
                <w:b w:val="0"/>
                <w:color w:val="222222"/>
                <w:sz w:val="16"/>
              </w:rPr>
              <w:t>Invoice</w:t>
            </w:r>
          </w:p>
        </w:tc>
        <w:tc>
          <w:tcPr>
            <w:tcW w:type="dxa" w:w="2880"/>
            <w:vAlign w:val="center"/>
          </w:tcPr>
          <w:p>
            <w:pPr>
              <w:spacing w:after="0"/>
            </w:pPr>
            <w:r/>
            <w:r>
              <w:rPr>
                <w:rFonts w:ascii="Aptos" w:hAnsi="Aptos"/>
                <w:b w:val="0"/>
                <w:color w:val="222222"/>
                <w:sz w:val="16"/>
              </w:rPr>
              <w:t>Actual mix %; blended Protein/C/N/EF</w:t>
            </w:r>
          </w:p>
        </w:tc>
      </w:tr>
      <w:tr>
        <w:tc>
          <w:tcPr>
            <w:tcW w:type="dxa" w:w="1656"/>
            <w:vAlign w:val="center"/>
          </w:tcPr>
          <w:p>
            <w:pPr>
              <w:spacing w:after="0"/>
            </w:pPr>
            <w:r>
              <w:rPr>
                <w:b/>
              </w:rPr>
            </w:r>
            <w:r>
              <w:rPr>
                <w:rFonts w:ascii="Aptos" w:hAnsi="Aptos"/>
                <w:b w:val="0"/>
                <w:color w:val="222222"/>
                <w:sz w:val="16"/>
              </w:rPr>
              <w:t>GNC</w:t>
            </w:r>
          </w:p>
        </w:tc>
        <w:tc>
          <w:tcPr>
            <w:tcW w:type="dxa" w:w="3024"/>
            <w:vAlign w:val="center"/>
          </w:tcPr>
          <w:p>
            <w:pPr>
              <w:spacing w:after="0"/>
            </w:pPr>
            <w:r/>
            <w:r>
              <w:rPr>
                <w:rFonts w:ascii="Aptos" w:hAnsi="Aptos"/>
                <w:b w:val="0"/>
                <w:color w:val="222222"/>
                <w:sz w:val="16"/>
              </w:rPr>
              <w:t>Actual purchased quantity</w:t>
            </w:r>
          </w:p>
        </w:tc>
        <w:tc>
          <w:tcPr>
            <w:tcW w:type="dxa" w:w="1440"/>
            <w:vAlign w:val="center"/>
          </w:tcPr>
          <w:p>
            <w:pPr>
              <w:spacing w:after="0"/>
            </w:pPr>
            <w:r/>
            <w:r>
              <w:rPr>
                <w:rFonts w:ascii="Aptos" w:hAnsi="Aptos"/>
                <w:b w:val="0"/>
                <w:color w:val="222222"/>
                <w:sz w:val="16"/>
              </w:rPr>
              <w:t>kg</w:t>
            </w:r>
          </w:p>
        </w:tc>
        <w:tc>
          <w:tcPr>
            <w:tcW w:type="dxa" w:w="2232"/>
            <w:vAlign w:val="center"/>
          </w:tcPr>
          <w:p>
            <w:pPr>
              <w:spacing w:after="0"/>
            </w:pPr>
            <w:r/>
            <w:r>
              <w:rPr>
                <w:rFonts w:ascii="Aptos" w:hAnsi="Aptos"/>
                <w:b w:val="0"/>
                <w:color w:val="222222"/>
                <w:sz w:val="16"/>
              </w:rPr>
              <w:t>Invoice</w:t>
            </w:r>
          </w:p>
        </w:tc>
        <w:tc>
          <w:tcPr>
            <w:tcW w:type="dxa" w:w="2880"/>
            <w:vAlign w:val="center"/>
          </w:tcPr>
          <w:p>
            <w:pPr>
              <w:spacing w:after="0"/>
            </w:pPr>
            <w:r/>
            <w:r>
              <w:rPr>
                <w:rFonts w:ascii="Aptos" w:hAnsi="Aptos"/>
                <w:b w:val="0"/>
                <w:color w:val="222222"/>
                <w:sz w:val="16"/>
              </w:rPr>
              <w:t>Actual mix %; blended Protein/C/N/EF</w:t>
            </w:r>
          </w:p>
        </w:tc>
      </w:tr>
      <w:tr>
        <w:tc>
          <w:tcPr>
            <w:tcW w:type="dxa" w:w="1656"/>
            <w:vAlign w:val="center"/>
          </w:tcPr>
          <w:p>
            <w:pPr>
              <w:spacing w:after="0"/>
            </w:pPr>
            <w:r>
              <w:rPr>
                <w:b/>
              </w:rPr>
            </w:r>
            <w:r>
              <w:rPr>
                <w:rFonts w:ascii="Aptos" w:hAnsi="Aptos"/>
                <w:b w:val="0"/>
                <w:color w:val="222222"/>
                <w:sz w:val="16"/>
              </w:rPr>
              <w:t>SBM</w:t>
            </w:r>
          </w:p>
        </w:tc>
        <w:tc>
          <w:tcPr>
            <w:tcW w:type="dxa" w:w="3024"/>
            <w:vAlign w:val="center"/>
          </w:tcPr>
          <w:p>
            <w:pPr>
              <w:spacing w:after="0"/>
            </w:pPr>
            <w:r/>
            <w:r>
              <w:rPr>
                <w:rFonts w:ascii="Aptos" w:hAnsi="Aptos"/>
                <w:b w:val="0"/>
                <w:color w:val="222222"/>
                <w:sz w:val="16"/>
              </w:rPr>
              <w:t>Actual purchased quantity</w:t>
            </w:r>
          </w:p>
        </w:tc>
        <w:tc>
          <w:tcPr>
            <w:tcW w:type="dxa" w:w="1440"/>
            <w:vAlign w:val="center"/>
          </w:tcPr>
          <w:p>
            <w:pPr>
              <w:spacing w:after="0"/>
            </w:pPr>
            <w:r/>
            <w:r>
              <w:rPr>
                <w:rFonts w:ascii="Aptos" w:hAnsi="Aptos"/>
                <w:b w:val="0"/>
                <w:color w:val="222222"/>
                <w:sz w:val="16"/>
              </w:rPr>
              <w:t>kg</w:t>
            </w:r>
          </w:p>
        </w:tc>
        <w:tc>
          <w:tcPr>
            <w:tcW w:type="dxa" w:w="2232"/>
            <w:vAlign w:val="center"/>
          </w:tcPr>
          <w:p>
            <w:pPr>
              <w:spacing w:after="0"/>
            </w:pPr>
            <w:r/>
            <w:r>
              <w:rPr>
                <w:rFonts w:ascii="Aptos" w:hAnsi="Aptos"/>
                <w:b w:val="0"/>
                <w:color w:val="222222"/>
                <w:sz w:val="16"/>
              </w:rPr>
              <w:t>Invoice</w:t>
            </w:r>
          </w:p>
        </w:tc>
        <w:tc>
          <w:tcPr>
            <w:tcW w:type="dxa" w:w="2880"/>
            <w:vAlign w:val="center"/>
          </w:tcPr>
          <w:p>
            <w:pPr>
              <w:spacing w:after="0"/>
            </w:pPr>
            <w:r/>
            <w:r>
              <w:rPr>
                <w:rFonts w:ascii="Aptos" w:hAnsi="Aptos"/>
                <w:b w:val="0"/>
                <w:color w:val="222222"/>
                <w:sz w:val="16"/>
              </w:rPr>
              <w:t>Actual mix %; blended Protein/C/N/EF</w:t>
            </w:r>
          </w:p>
        </w:tc>
      </w:tr>
      <w:tr>
        <w:tc>
          <w:tcPr>
            <w:tcW w:type="dxa" w:w="1656"/>
            <w:vAlign w:val="center"/>
          </w:tcPr>
          <w:p>
            <w:pPr>
              <w:spacing w:after="0"/>
            </w:pPr>
            <w:r>
              <w:rPr>
                <w:b/>
              </w:rPr>
            </w:r>
            <w:r>
              <w:rPr>
                <w:rFonts w:ascii="Aptos" w:hAnsi="Aptos"/>
                <w:b w:val="0"/>
                <w:color w:val="222222"/>
                <w:sz w:val="16"/>
              </w:rPr>
              <w:t>DDGS</w:t>
            </w:r>
          </w:p>
        </w:tc>
        <w:tc>
          <w:tcPr>
            <w:tcW w:type="dxa" w:w="3024"/>
            <w:vAlign w:val="center"/>
          </w:tcPr>
          <w:p>
            <w:pPr>
              <w:spacing w:after="0"/>
            </w:pPr>
            <w:r/>
            <w:r>
              <w:rPr>
                <w:rFonts w:ascii="Aptos" w:hAnsi="Aptos"/>
                <w:b w:val="0"/>
                <w:color w:val="222222"/>
                <w:sz w:val="16"/>
              </w:rPr>
              <w:t>Actual purchased quantity</w:t>
            </w:r>
          </w:p>
        </w:tc>
        <w:tc>
          <w:tcPr>
            <w:tcW w:type="dxa" w:w="1440"/>
            <w:vAlign w:val="center"/>
          </w:tcPr>
          <w:p>
            <w:pPr>
              <w:spacing w:after="0"/>
            </w:pPr>
            <w:r/>
            <w:r>
              <w:rPr>
                <w:rFonts w:ascii="Aptos" w:hAnsi="Aptos"/>
                <w:b w:val="0"/>
                <w:color w:val="222222"/>
                <w:sz w:val="16"/>
              </w:rPr>
              <w:t>kg</w:t>
            </w:r>
          </w:p>
        </w:tc>
        <w:tc>
          <w:tcPr>
            <w:tcW w:type="dxa" w:w="2232"/>
            <w:vAlign w:val="center"/>
          </w:tcPr>
          <w:p>
            <w:pPr>
              <w:spacing w:after="0"/>
            </w:pPr>
            <w:r/>
            <w:r>
              <w:rPr>
                <w:rFonts w:ascii="Aptos" w:hAnsi="Aptos"/>
                <w:b w:val="0"/>
                <w:color w:val="222222"/>
                <w:sz w:val="16"/>
              </w:rPr>
              <w:t>Invoice</w:t>
            </w:r>
          </w:p>
        </w:tc>
        <w:tc>
          <w:tcPr>
            <w:tcW w:type="dxa" w:w="2880"/>
            <w:vAlign w:val="center"/>
          </w:tcPr>
          <w:p>
            <w:pPr>
              <w:spacing w:after="0"/>
            </w:pPr>
            <w:r/>
            <w:r>
              <w:rPr>
                <w:rFonts w:ascii="Aptos" w:hAnsi="Aptos"/>
                <w:b w:val="0"/>
                <w:color w:val="222222"/>
                <w:sz w:val="16"/>
              </w:rPr>
              <w:t>Actual mix %; blended Protein/C/N/EF</w:t>
            </w:r>
          </w:p>
        </w:tc>
      </w:tr>
      <w:tr>
        <w:tc>
          <w:tcPr>
            <w:tcW w:type="dxa" w:w="1656"/>
            <w:vAlign w:val="center"/>
          </w:tcPr>
          <w:p>
            <w:pPr>
              <w:spacing w:after="0"/>
            </w:pPr>
            <w:r>
              <w:rPr>
                <w:b/>
              </w:rPr>
            </w:r>
            <w:r>
              <w:rPr>
                <w:rFonts w:ascii="Aptos" w:hAnsi="Aptos"/>
                <w:b w:val="0"/>
                <w:color w:val="222222"/>
                <w:sz w:val="16"/>
              </w:rPr>
              <w:t>Ingredient protein</w:t>
            </w:r>
          </w:p>
        </w:tc>
        <w:tc>
          <w:tcPr>
            <w:tcW w:type="dxa" w:w="3024"/>
            <w:vAlign w:val="center"/>
          </w:tcPr>
          <w:p>
            <w:pPr>
              <w:spacing w:after="0"/>
            </w:pPr>
            <w:r/>
            <w:r>
              <w:rPr>
                <w:rFonts w:ascii="Aptos" w:hAnsi="Aptos"/>
                <w:b w:val="0"/>
                <w:color w:val="222222"/>
                <w:sz w:val="16"/>
              </w:rPr>
              <w:t>Database value</w:t>
            </w:r>
          </w:p>
        </w:tc>
        <w:tc>
          <w:tcPr>
            <w:tcW w:type="dxa" w:w="1440"/>
            <w:vAlign w:val="center"/>
          </w:tcPr>
          <w:p>
            <w:pPr>
              <w:spacing w:after="0"/>
            </w:pPr>
            <w:r/>
            <w:r>
              <w:rPr>
                <w:rFonts w:ascii="Aptos" w:hAnsi="Aptos"/>
                <w:b w:val="0"/>
                <w:color w:val="222222"/>
                <w:sz w:val="16"/>
              </w:rPr>
              <w:t>%</w:t>
            </w:r>
          </w:p>
        </w:tc>
        <w:tc>
          <w:tcPr>
            <w:tcW w:type="dxa" w:w="2232"/>
            <w:vAlign w:val="center"/>
          </w:tcPr>
          <w:p>
            <w:pPr>
              <w:spacing w:after="0"/>
            </w:pPr>
            <w:r/>
            <w:r>
              <w:rPr>
                <w:rFonts w:ascii="Aptos" w:hAnsi="Aptos"/>
                <w:b w:val="0"/>
                <w:color w:val="222222"/>
                <w:sz w:val="16"/>
              </w:rPr>
              <w:t>Reference/database</w:t>
            </w:r>
          </w:p>
        </w:tc>
        <w:tc>
          <w:tcPr>
            <w:tcW w:type="dxa" w:w="2880"/>
            <w:vAlign w:val="center"/>
          </w:tcPr>
          <w:p>
            <w:pPr>
              <w:spacing w:after="0"/>
            </w:pPr>
            <w:r/>
            <w:r>
              <w:rPr>
                <w:rFonts w:ascii="Aptos" w:hAnsi="Aptos"/>
                <w:b w:val="0"/>
                <w:color w:val="222222"/>
                <w:sz w:val="16"/>
              </w:rPr>
              <w:t>Weighted protein</w:t>
            </w:r>
          </w:p>
        </w:tc>
      </w:tr>
      <w:tr>
        <w:tc>
          <w:tcPr>
            <w:tcW w:type="dxa" w:w="1656"/>
            <w:vAlign w:val="center"/>
          </w:tcPr>
          <w:p>
            <w:pPr>
              <w:spacing w:after="0"/>
            </w:pPr>
            <w:r>
              <w:rPr>
                <w:b/>
              </w:rPr>
            </w:r>
            <w:r>
              <w:rPr>
                <w:rFonts w:ascii="Aptos" w:hAnsi="Aptos"/>
                <w:b w:val="0"/>
                <w:color w:val="222222"/>
                <w:sz w:val="16"/>
              </w:rPr>
              <w:t>Ingredient carbon</w:t>
            </w:r>
          </w:p>
        </w:tc>
        <w:tc>
          <w:tcPr>
            <w:tcW w:type="dxa" w:w="3024"/>
            <w:vAlign w:val="center"/>
          </w:tcPr>
          <w:p>
            <w:pPr>
              <w:spacing w:after="0"/>
            </w:pPr>
            <w:r/>
            <w:r>
              <w:rPr>
                <w:rFonts w:ascii="Aptos" w:hAnsi="Aptos"/>
                <w:b w:val="0"/>
                <w:color w:val="222222"/>
                <w:sz w:val="16"/>
              </w:rPr>
              <w:t>Database value</w:t>
            </w:r>
          </w:p>
        </w:tc>
        <w:tc>
          <w:tcPr>
            <w:tcW w:type="dxa" w:w="1440"/>
            <w:vAlign w:val="center"/>
          </w:tcPr>
          <w:p>
            <w:pPr>
              <w:spacing w:after="0"/>
            </w:pPr>
            <w:r/>
            <w:r>
              <w:rPr>
                <w:rFonts w:ascii="Aptos" w:hAnsi="Aptos"/>
                <w:b w:val="0"/>
                <w:color w:val="222222"/>
                <w:sz w:val="16"/>
              </w:rPr>
              <w:t>%</w:t>
            </w:r>
          </w:p>
        </w:tc>
        <w:tc>
          <w:tcPr>
            <w:tcW w:type="dxa" w:w="2232"/>
            <w:vAlign w:val="center"/>
          </w:tcPr>
          <w:p>
            <w:pPr>
              <w:spacing w:after="0"/>
            </w:pPr>
            <w:r/>
            <w:r>
              <w:rPr>
                <w:rFonts w:ascii="Aptos" w:hAnsi="Aptos"/>
                <w:b w:val="0"/>
                <w:color w:val="222222"/>
                <w:sz w:val="16"/>
              </w:rPr>
              <w:t>Reference/database</w:t>
            </w:r>
          </w:p>
        </w:tc>
        <w:tc>
          <w:tcPr>
            <w:tcW w:type="dxa" w:w="2880"/>
            <w:vAlign w:val="center"/>
          </w:tcPr>
          <w:p>
            <w:pPr>
              <w:spacing w:after="0"/>
            </w:pPr>
            <w:r/>
            <w:r>
              <w:rPr>
                <w:rFonts w:ascii="Aptos" w:hAnsi="Aptos"/>
                <w:b w:val="0"/>
                <w:color w:val="222222"/>
                <w:sz w:val="16"/>
              </w:rPr>
              <w:t>Carbon mass balance</w:t>
            </w:r>
          </w:p>
        </w:tc>
      </w:tr>
      <w:tr>
        <w:tc>
          <w:tcPr>
            <w:tcW w:type="dxa" w:w="1656"/>
            <w:vAlign w:val="center"/>
          </w:tcPr>
          <w:p>
            <w:pPr>
              <w:spacing w:after="0"/>
            </w:pPr>
            <w:r>
              <w:rPr>
                <w:b/>
              </w:rPr>
            </w:r>
            <w:r>
              <w:rPr>
                <w:rFonts w:ascii="Aptos" w:hAnsi="Aptos"/>
                <w:b w:val="0"/>
                <w:color w:val="222222"/>
                <w:sz w:val="16"/>
              </w:rPr>
              <w:t>Ingredient nitrogen</w:t>
            </w:r>
          </w:p>
        </w:tc>
        <w:tc>
          <w:tcPr>
            <w:tcW w:type="dxa" w:w="3024"/>
            <w:vAlign w:val="center"/>
          </w:tcPr>
          <w:p>
            <w:pPr>
              <w:spacing w:after="0"/>
            </w:pPr>
            <w:r/>
            <w:r>
              <w:rPr>
                <w:rFonts w:ascii="Aptos" w:hAnsi="Aptos"/>
                <w:b w:val="0"/>
                <w:color w:val="222222"/>
                <w:sz w:val="16"/>
              </w:rPr>
              <w:t>Database value</w:t>
            </w:r>
          </w:p>
        </w:tc>
        <w:tc>
          <w:tcPr>
            <w:tcW w:type="dxa" w:w="1440"/>
            <w:vAlign w:val="center"/>
          </w:tcPr>
          <w:p>
            <w:pPr>
              <w:spacing w:after="0"/>
            </w:pPr>
            <w:r/>
            <w:r>
              <w:rPr>
                <w:rFonts w:ascii="Aptos" w:hAnsi="Aptos"/>
                <w:b w:val="0"/>
                <w:color w:val="222222"/>
                <w:sz w:val="16"/>
              </w:rPr>
              <w:t>%</w:t>
            </w:r>
          </w:p>
        </w:tc>
        <w:tc>
          <w:tcPr>
            <w:tcW w:type="dxa" w:w="2232"/>
            <w:vAlign w:val="center"/>
          </w:tcPr>
          <w:p>
            <w:pPr>
              <w:spacing w:after="0"/>
            </w:pPr>
            <w:r/>
            <w:r>
              <w:rPr>
                <w:rFonts w:ascii="Aptos" w:hAnsi="Aptos"/>
                <w:b w:val="0"/>
                <w:color w:val="222222"/>
                <w:sz w:val="16"/>
              </w:rPr>
              <w:t>Reference/database</w:t>
            </w:r>
          </w:p>
        </w:tc>
        <w:tc>
          <w:tcPr>
            <w:tcW w:type="dxa" w:w="2880"/>
            <w:vAlign w:val="center"/>
          </w:tcPr>
          <w:p>
            <w:pPr>
              <w:spacing w:after="0"/>
            </w:pPr>
            <w:r/>
            <w:r>
              <w:rPr>
                <w:rFonts w:ascii="Aptos" w:hAnsi="Aptos"/>
                <w:b w:val="0"/>
                <w:color w:val="222222"/>
                <w:sz w:val="16"/>
              </w:rPr>
              <w:t>Nitrogen mass balance</w:t>
            </w:r>
          </w:p>
        </w:tc>
      </w:tr>
      <w:tr>
        <w:tc>
          <w:tcPr>
            <w:tcW w:type="dxa" w:w="1656"/>
            <w:vAlign w:val="center"/>
          </w:tcPr>
          <w:p>
            <w:pPr>
              <w:spacing w:after="0"/>
            </w:pPr>
            <w:r>
              <w:rPr>
                <w:b/>
              </w:rPr>
            </w:r>
            <w:r>
              <w:rPr>
                <w:rFonts w:ascii="Aptos" w:hAnsi="Aptos"/>
                <w:b w:val="0"/>
                <w:color w:val="222222"/>
                <w:sz w:val="16"/>
              </w:rPr>
              <w:t>Ingredient EF</w:t>
            </w:r>
          </w:p>
        </w:tc>
        <w:tc>
          <w:tcPr>
            <w:tcW w:type="dxa" w:w="3024"/>
            <w:vAlign w:val="center"/>
          </w:tcPr>
          <w:p>
            <w:pPr>
              <w:spacing w:after="0"/>
            </w:pPr>
            <w:r/>
            <w:r>
              <w:rPr>
                <w:rFonts w:ascii="Aptos" w:hAnsi="Aptos"/>
                <w:b w:val="0"/>
                <w:color w:val="222222"/>
                <w:sz w:val="16"/>
              </w:rPr>
              <w:t>Database value</w:t>
            </w:r>
          </w:p>
        </w:tc>
        <w:tc>
          <w:tcPr>
            <w:tcW w:type="dxa" w:w="1440"/>
            <w:vAlign w:val="center"/>
          </w:tcPr>
          <w:p>
            <w:pPr>
              <w:spacing w:after="0"/>
            </w:pPr>
            <w:r/>
            <w:r>
              <w:rPr>
                <w:rFonts w:ascii="Aptos" w:hAnsi="Aptos"/>
                <w:b w:val="0"/>
                <w:color w:val="222222"/>
                <w:sz w:val="16"/>
              </w:rPr>
              <w:t>kgCO₂e/kg</w:t>
            </w:r>
          </w:p>
        </w:tc>
        <w:tc>
          <w:tcPr>
            <w:tcW w:type="dxa" w:w="2232"/>
            <w:vAlign w:val="center"/>
          </w:tcPr>
          <w:p>
            <w:pPr>
              <w:spacing w:after="0"/>
            </w:pPr>
            <w:r/>
            <w:r>
              <w:rPr>
                <w:rFonts w:ascii="Aptos" w:hAnsi="Aptos"/>
                <w:b w:val="0"/>
                <w:color w:val="222222"/>
                <w:sz w:val="16"/>
              </w:rPr>
              <w:t>Reference/database</w:t>
            </w:r>
          </w:p>
        </w:tc>
        <w:tc>
          <w:tcPr>
            <w:tcW w:type="dxa" w:w="2880"/>
            <w:vAlign w:val="center"/>
          </w:tcPr>
          <w:p>
            <w:pPr>
              <w:spacing w:after="0"/>
            </w:pPr>
            <w:r/>
            <w:r>
              <w:rPr>
                <w:rFonts w:ascii="Aptos" w:hAnsi="Aptos"/>
                <w:b w:val="0"/>
                <w:color w:val="222222"/>
                <w:sz w:val="16"/>
              </w:rPr>
              <w:t>Scope 3 feed emissions</w:t>
            </w:r>
          </w:p>
        </w:tc>
      </w:tr>
      <w:tr>
        <w:tc>
          <w:tcPr>
            <w:tcW w:type="dxa" w:w="1656"/>
            <w:vAlign w:val="center"/>
          </w:tcPr>
          <w:p>
            <w:pPr>
              <w:spacing w:after="0"/>
            </w:pPr>
            <w:r>
              <w:rPr>
                <w:b/>
              </w:rPr>
            </w:r>
            <w:r>
              <w:rPr>
                <w:rFonts w:ascii="Aptos" w:hAnsi="Aptos"/>
                <w:b w:val="0"/>
                <w:color w:val="222222"/>
                <w:sz w:val="16"/>
              </w:rPr>
              <w:t>Mix total</w:t>
            </w:r>
          </w:p>
        </w:tc>
        <w:tc>
          <w:tcPr>
            <w:tcW w:type="dxa" w:w="3024"/>
            <w:vAlign w:val="center"/>
          </w:tcPr>
          <w:p>
            <w:pPr>
              <w:spacing w:after="0"/>
            </w:pPr>
            <w:r/>
            <w:r>
              <w:rPr>
                <w:rFonts w:ascii="Aptos" w:hAnsi="Aptos"/>
                <w:b w:val="0"/>
                <w:color w:val="222222"/>
                <w:sz w:val="16"/>
              </w:rPr>
              <w:t>Σ actual kg</w:t>
            </w:r>
          </w:p>
        </w:tc>
        <w:tc>
          <w:tcPr>
            <w:tcW w:type="dxa" w:w="1440"/>
            <w:vAlign w:val="center"/>
          </w:tcPr>
          <w:p>
            <w:pPr>
              <w:spacing w:after="0"/>
            </w:pPr>
            <w:r/>
            <w:r>
              <w:rPr>
                <w:rFonts w:ascii="Aptos" w:hAnsi="Aptos"/>
                <w:b w:val="0"/>
                <w:color w:val="222222"/>
                <w:sz w:val="16"/>
              </w:rPr>
              <w:t>kg</w:t>
            </w:r>
          </w:p>
        </w:tc>
        <w:tc>
          <w:tcPr>
            <w:tcW w:type="dxa" w:w="2232"/>
            <w:vAlign w:val="center"/>
          </w:tcPr>
          <w:p>
            <w:pPr>
              <w:spacing w:after="0"/>
            </w:pPr>
            <w:r/>
            <w:r>
              <w:rPr>
                <w:rFonts w:ascii="Aptos" w:hAnsi="Aptos"/>
                <w:b w:val="0"/>
                <w:color w:val="222222"/>
                <w:sz w:val="16"/>
              </w:rPr>
              <w:t>Calculated</w:t>
            </w:r>
          </w:p>
        </w:tc>
        <w:tc>
          <w:tcPr>
            <w:tcW w:type="dxa" w:w="2880"/>
            <w:vAlign w:val="center"/>
          </w:tcPr>
          <w:p>
            <w:pPr>
              <w:spacing w:after="0"/>
            </w:pPr>
            <w:r/>
            <w:r>
              <w:rPr>
                <w:rFonts w:ascii="Aptos" w:hAnsi="Aptos"/>
                <w:b w:val="0"/>
                <w:color w:val="222222"/>
                <w:sz w:val="16"/>
              </w:rPr>
              <w:t>Must be &gt;0</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2F0D9"/>
          </w:tcPr>
          <w:p>
            <w:pPr>
              <w:spacing w:after="40"/>
            </w:pPr>
            <w:r>
              <w:rPr>
                <w:b/>
                <w:color w:val="548235"/>
              </w:rPr>
              <w:t xml:space="preserve">Invoice-first principle:  </w:t>
            </w:r>
            <w:r>
              <w:rPr>
                <w:sz w:val="18"/>
              </w:rPr>
              <w:t>The reference formulation is not the MRV formulation. For Scope 3 feed accounting, the v3.4 model uses actual ingredient quantities purchased and reconciled to crop use wherever data are available.</w:t>
            </w:r>
          </w:p>
        </w:tc>
      </w:tr>
    </w:tbl>
    <w:p>
      <w:pPr>
        <w:spacing w:after="20"/>
      </w:pPr>
    </w:p>
    <w:p>
      <w:r>
        <w:br w:type="page"/>
      </w:r>
    </w:p>
    <w:p>
      <w:pPr>
        <w:pStyle w:val="Heading1"/>
      </w:pPr>
      <w:r>
        <w:t>Section 2: The Calculation Engine (The Formulas)</w:t>
      </w:r>
    </w:p>
    <w:p>
      <w:r>
        <w:t>This section expresses the workbook calculation logic in mathematical form so that the same engine can be implemented in Excel, a database service or a web/mobile application. Variables must carry explicit units and provenance. Percent values are represented as fractions in equations unless otherwise stated.</w:t>
      </w:r>
    </w:p>
    <w:p>
      <w:pPr>
        <w:pStyle w:val="Heading2"/>
      </w:pPr>
      <w:r>
        <w:t>2.1 Scope 3: Feed Manufacturing Emissions</w:t>
      </w:r>
    </w:p>
    <w:p>
      <w:r>
        <w:t>For each ingredient i, the actual crop-period quantity is qᵢ (kg) and the ingredient emission factor is EFᵢ (kg CO₂e/kg). The blended feed emission factor is the mass-weighted average.</w:t>
      </w:r>
    </w:p>
    <w:p>
      <w:pPr>
        <w:pStyle w:val="Formula"/>
        <w:spacing w:before="60" w:after="60"/>
        <w:ind w:left="360" w:right="360"/>
      </w:pPr>
      <w:r>
        <w:rPr>
          <w:rFonts w:ascii="Consolas" w:hAnsi="Consolas"/>
          <w:sz w:val="18"/>
        </w:rPr>
        <w:t>EF_blend = Σ(qᵢ × EFᵢ) / Σqᵢ</w:t>
      </w:r>
    </w:p>
    <w:p>
      <w:pPr>
        <w:pStyle w:val="Formula"/>
        <w:spacing w:before="60" w:after="60"/>
        <w:ind w:left="360" w:right="360"/>
      </w:pPr>
      <w:r>
        <w:rPr>
          <w:rFonts w:ascii="Consolas" w:hAnsi="Consolas"/>
          <w:sz w:val="18"/>
        </w:rPr>
        <w:t>For IMC v3.4: EF_blend = (q_DOB·EF_DOB + q_GNC·EF_GNC + q_SBM·EF_SBM + q_DDGS·EF_DDGS) / (q_DOB + q_GNC + q_SBM + q_DDGS)</w:t>
      </w:r>
    </w:p>
    <w:p>
      <w:pPr>
        <w:pStyle w:val="Formula"/>
        <w:spacing w:before="60" w:after="60"/>
        <w:ind w:left="360" w:right="360"/>
      </w:pPr>
      <w:r>
        <w:rPr>
          <w:rFonts w:ascii="Consolas" w:hAnsi="Consolas"/>
          <w:sz w:val="18"/>
        </w:rPr>
        <w:t>Feed CO₂e = Feed_used × EF_blend</w:t>
      </w:r>
    </w:p>
    <w:p>
      <w:r>
        <w:t>Where Feed_used is the reconciled crop-period feed quantity used for MRV. If only purchases are available, the workbook may use purchases as a temporary proxy, but opening and closing inventory must be reconciled before a final credit claim.</w:t>
      </w:r>
    </w:p>
    <w:p>
      <w:pPr>
        <w:pStyle w:val="Heading3"/>
      </w:pPr>
      <w:r>
        <w:t>Weighted nutrient profile</w:t>
      </w:r>
    </w:p>
    <w:p>
      <w:pPr>
        <w:pStyle w:val="Formula"/>
        <w:spacing w:before="60" w:after="60"/>
        <w:ind w:left="360" w:right="360"/>
      </w:pPr>
      <w:r>
        <w:rPr>
          <w:rFonts w:ascii="Consolas" w:hAnsi="Consolas"/>
          <w:sz w:val="18"/>
        </w:rPr>
        <w:t>Protein_blend = Σ(qᵢ × Proteinᵢ) / Σqᵢ</w:t>
      </w:r>
    </w:p>
    <w:p>
      <w:pPr>
        <w:pStyle w:val="Formula"/>
        <w:spacing w:before="60" w:after="60"/>
        <w:ind w:left="360" w:right="360"/>
      </w:pPr>
      <w:r>
        <w:rPr>
          <w:rFonts w:ascii="Consolas" w:hAnsi="Consolas"/>
          <w:sz w:val="18"/>
        </w:rPr>
        <w:t>Carbon_blend = Σ(qᵢ × Carbonᵢ) / Σqᵢ</w:t>
      </w:r>
    </w:p>
    <w:p>
      <w:pPr>
        <w:pStyle w:val="Formula"/>
        <w:spacing w:before="60" w:after="60"/>
        <w:ind w:left="360" w:right="360"/>
      </w:pPr>
      <w:r>
        <w:rPr>
          <w:rFonts w:ascii="Consolas" w:hAnsi="Consolas"/>
          <w:sz w:val="18"/>
        </w:rPr>
        <w:t>Nitrogen_blend = Σ(qᵢ × Nitrogenᵢ) / Σqᵢ</w:t>
      </w:r>
    </w:p>
    <w:p>
      <w:r>
        <w:t>The actual mix percentages are pᵢ = qᵢ / Σqᵢ and must satisfy Σpᵢ = 1.00, subject to a numerical tolerance defined in the workbook.</w:t>
      </w:r>
    </w:p>
    <w:p>
      <w:pPr>
        <w:pStyle w:val="Heading2"/>
      </w:pPr>
      <w:r>
        <w:t>2.2 Scope 1: Pond Biogeochemistry — The Boyd Engine</w:t>
      </w:r>
    </w:p>
    <w:p>
      <w:r>
        <w:t>The pond engine follows a mass-balance framing in which feed-derived carbon and nitrogen are partitioned among retained biomass and environmental loss pathways. The workbook uses these balances as the bridge between production inputs and pond GHG emissions.</w:t>
      </w:r>
    </w:p>
    <w:p>
      <w:pPr>
        <w:pStyle w:val="Heading3"/>
      </w:pPr>
      <w:r>
        <w:t>Carbon mass balance</w:t>
      </w:r>
    </w:p>
    <w:p>
      <w:pPr>
        <w:pStyle w:val="Formula"/>
        <w:spacing w:before="60" w:after="60"/>
        <w:ind w:left="360" w:right="360"/>
      </w:pPr>
      <w:r>
        <w:rPr>
          <w:rFonts w:ascii="Consolas" w:hAnsi="Consolas"/>
          <w:sz w:val="18"/>
        </w:rPr>
        <w:t>C_feed = Feed_mass × C_fraction</w:t>
      </w:r>
    </w:p>
    <w:p>
      <w:pPr>
        <w:pStyle w:val="Formula"/>
        <w:spacing w:before="60" w:after="60"/>
        <w:ind w:left="360" w:right="360"/>
      </w:pPr>
      <w:r>
        <w:rPr>
          <w:rFonts w:ascii="Consolas" w:hAnsi="Consolas"/>
          <w:sz w:val="18"/>
        </w:rPr>
        <w:t>C_retained = Biomass_gain × C_fraction_of_fish_biomass</w:t>
      </w:r>
    </w:p>
    <w:p>
      <w:pPr>
        <w:pStyle w:val="Formula"/>
        <w:spacing w:before="60" w:after="60"/>
        <w:ind w:left="360" w:right="360"/>
      </w:pPr>
      <w:r>
        <w:rPr>
          <w:rFonts w:ascii="Consolas" w:hAnsi="Consolas"/>
          <w:sz w:val="18"/>
        </w:rPr>
        <w:t>C_lost_to_pond = C_feed − C_retained</w:t>
      </w:r>
    </w:p>
    <w:p>
      <w:pPr>
        <w:pStyle w:val="Formula"/>
        <w:spacing w:before="60" w:after="60"/>
        <w:ind w:left="360" w:right="360"/>
      </w:pPr>
      <w:r>
        <w:rPr>
          <w:rFonts w:ascii="Consolas" w:hAnsi="Consolas"/>
          <w:sz w:val="18"/>
        </w:rPr>
        <w:t>C_feed ≈ C_retained + C_lost_to_pond</w:t>
      </w:r>
    </w:p>
    <w:tbl>
      <w:tblPr>
        <w:tblStyle w:val="TableGrid"/>
        <w:tblW w:type="auto" w:w="0"/>
        <w:tblLook w:firstColumn="1" w:firstRow="1" w:lastColumn="0" w:lastRow="0" w:noHBand="0" w:noVBand="1" w:val="04A0"/>
      </w:tblPr>
      <w:tblGrid>
        <w:gridCol w:w="10080"/>
      </w:tblGrid>
      <w:tr>
        <w:tc>
          <w:tcPr>
            <w:tcW w:type="dxa" w:w="10080"/>
            <w:shd w:fill="D9EAF7"/>
          </w:tcPr>
          <w:p>
            <w:pPr>
              <w:spacing w:after="40"/>
            </w:pPr>
            <w:r>
              <w:rPr>
                <w:b/>
                <w:color w:val="17365D"/>
              </w:rPr>
              <w:t xml:space="preserve">MRV tolerance:  </w:t>
            </w:r>
            <w:r>
              <w:rPr>
                <w:sz w:val="18"/>
              </w:rPr>
              <w:t>The carbon balance should be treated as passing only when the absolute residual is within the workbook's defined tolerance. A material residual indicates an input, unit or accounting-boundary error.</w:t>
            </w:r>
          </w:p>
        </w:tc>
      </w:tr>
    </w:tbl>
    <w:p>
      <w:pPr>
        <w:spacing w:after="20"/>
      </w:pPr>
    </w:p>
    <w:p>
      <w:pPr>
        <w:pStyle w:val="Heading3"/>
      </w:pPr>
      <w:r>
        <w:t>Nitrogen mass balance</w:t>
      </w:r>
    </w:p>
    <w:p>
      <w:pPr>
        <w:pStyle w:val="Formula"/>
        <w:spacing w:before="60" w:after="60"/>
        <w:ind w:left="360" w:right="360"/>
      </w:pPr>
      <w:r>
        <w:rPr>
          <w:rFonts w:ascii="Consolas" w:hAnsi="Consolas"/>
          <w:sz w:val="18"/>
        </w:rPr>
        <w:t>N_feed = Feed_mass × N_fraction</w:t>
      </w:r>
    </w:p>
    <w:p>
      <w:pPr>
        <w:pStyle w:val="Formula"/>
        <w:spacing w:before="60" w:after="60"/>
        <w:ind w:left="360" w:right="360"/>
      </w:pPr>
      <w:r>
        <w:rPr>
          <w:rFonts w:ascii="Consolas" w:hAnsi="Consolas"/>
          <w:sz w:val="18"/>
        </w:rPr>
        <w:t>N_retained = Biomass_gain × N_fraction_of_fish_biomass</w:t>
      </w:r>
    </w:p>
    <w:p>
      <w:pPr>
        <w:pStyle w:val="Formula"/>
        <w:spacing w:before="60" w:after="60"/>
        <w:ind w:left="360" w:right="360"/>
      </w:pPr>
      <w:r>
        <w:rPr>
          <w:rFonts w:ascii="Consolas" w:hAnsi="Consolas"/>
          <w:sz w:val="18"/>
        </w:rPr>
        <w:t>N_lost_to_pond = N_feed − N_retained</w:t>
      </w:r>
    </w:p>
    <w:p>
      <w:pPr>
        <w:pStyle w:val="Formula"/>
        <w:spacing w:before="60" w:after="60"/>
        <w:ind w:left="360" w:right="360"/>
      </w:pPr>
      <w:r>
        <w:rPr>
          <w:rFonts w:ascii="Consolas" w:hAnsi="Consolas"/>
          <w:sz w:val="18"/>
        </w:rPr>
        <w:t>N_feed ≈ N_retained + N_lost_to_pond</w:t>
      </w:r>
    </w:p>
    <w:p>
      <w:pPr>
        <w:pStyle w:val="Heading3"/>
      </w:pPr>
      <w:r>
        <w:t>Dynamic Anaerobic Fraction</w:t>
      </w:r>
    </w:p>
    <w:p>
      <w:r>
        <w:t>The anaerobic fraction is no longer a purely static 20% input. It is derived from the weekly field log using average pre-dawn dissolved oxygen and H₂S detection.</w:t>
      </w:r>
    </w:p>
    <w:p>
      <w:pPr>
        <w:pStyle w:val="Formula"/>
        <w:spacing w:before="60" w:after="60"/>
        <w:ind w:left="360" w:right="360"/>
      </w:pPr>
      <w:r>
        <w:rPr>
          <w:rFonts w:ascii="Consolas" w:hAnsi="Consolas"/>
          <w:sz w:val="18"/>
        </w:rPr>
        <w:t>AF = 12%  if  (DO_pre-dawn,avg ≥ 4.0 mg/L) AND (H₂S = Nil)</w:t>
      </w:r>
    </w:p>
    <w:p>
      <w:pPr>
        <w:pStyle w:val="Formula"/>
        <w:spacing w:before="60" w:after="60"/>
        <w:ind w:left="360" w:right="360"/>
      </w:pPr>
      <w:r>
        <w:rPr>
          <w:rFonts w:ascii="Consolas" w:hAnsi="Consolas"/>
          <w:sz w:val="18"/>
        </w:rPr>
        <w:t>AF = 30%  if  (DO_pre-dawn,avg &lt; 3.0 mg/L) AND (H₂S = Detected)</w:t>
      </w:r>
    </w:p>
    <w:p>
      <w:pPr>
        <w:pStyle w:val="Formula"/>
        <w:spacing w:before="60" w:after="60"/>
        <w:ind w:left="360" w:right="360"/>
      </w:pPr>
      <w:r>
        <w:rPr>
          <w:rFonts w:ascii="Consolas" w:hAnsi="Consolas"/>
          <w:sz w:val="18"/>
        </w:rPr>
        <w:t>AF = 20%  otherwise</w:t>
      </w:r>
    </w:p>
    <w:p>
      <w:r>
        <w:t>If no usable water-quality observations are available, the model retains the controlled fallback default of 20%, and the parameter must be marked as DEFAULT rather than MEASURED.</w:t>
      </w:r>
    </w:p>
    <w:p>
      <w:pPr>
        <w:pStyle w:val="Heading3"/>
      </w:pPr>
      <w:r>
        <w:t>Soil C:N Adjustment Factor</w:t>
      </w:r>
    </w:p>
    <w:p>
      <w:pPr>
        <w:pStyle w:val="Formula"/>
        <w:spacing w:before="60" w:after="60"/>
        <w:ind w:left="360" w:right="360"/>
      </w:pPr>
      <w:r>
        <w:rPr>
          <w:rFonts w:ascii="Consolas" w:hAnsi="Consolas"/>
          <w:sz w:val="18"/>
        </w:rPr>
        <w:t>C:N_adj = 1.00  if C:N ≤ 20</w:t>
      </w:r>
    </w:p>
    <w:p>
      <w:pPr>
        <w:pStyle w:val="Formula"/>
        <w:spacing w:before="60" w:after="60"/>
        <w:ind w:left="360" w:right="360"/>
      </w:pPr>
      <w:r>
        <w:rPr>
          <w:rFonts w:ascii="Consolas" w:hAnsi="Consolas"/>
          <w:sz w:val="18"/>
        </w:rPr>
        <w:t>C:N_adj = 1.15  if 20 &lt; C:N ≤ 30</w:t>
      </w:r>
    </w:p>
    <w:p>
      <w:pPr>
        <w:pStyle w:val="Formula"/>
        <w:spacing w:before="60" w:after="60"/>
        <w:ind w:left="360" w:right="360"/>
      </w:pPr>
      <w:r>
        <w:rPr>
          <w:rFonts w:ascii="Consolas" w:hAnsi="Consolas"/>
          <w:sz w:val="18"/>
        </w:rPr>
        <w:t>C:N_adj = 1.25  if C:N &gt; 30</w:t>
      </w:r>
    </w:p>
    <w:p>
      <w:r>
        <w:t>The factor is a bounded risk adjustment representing elevated anaerobic/methanogenic potential at high sediment C:N. It is not a direct measurement of methanogenesis.</w:t>
      </w:r>
    </w:p>
    <w:p>
      <w:pPr>
        <w:pStyle w:val="Heading3"/>
      </w:pPr>
      <w:r>
        <w:t>Methane (CH₄) emission formula</w:t>
      </w:r>
    </w:p>
    <w:p>
      <w:r>
        <w:t>The v3.4 implementation expresses methane generation as the relevant anaerobic carbon pool multiplied by the soil C:N adjustment, followed by sediment carbon burial and methane oxidation terms.</w:t>
      </w:r>
    </w:p>
    <w:p>
      <w:pPr>
        <w:pStyle w:val="Formula"/>
        <w:spacing w:before="60" w:after="60"/>
        <w:ind w:left="360" w:right="360"/>
      </w:pPr>
      <w:r>
        <w:rPr>
          <w:rFonts w:ascii="Consolas" w:hAnsi="Consolas"/>
          <w:sz w:val="18"/>
        </w:rPr>
        <w:t>C_anaerobic = C_lost_to_pond × AF × C:N_adj</w:t>
      </w:r>
    </w:p>
    <w:p>
      <w:pPr>
        <w:pStyle w:val="Formula"/>
        <w:spacing w:before="60" w:after="60"/>
        <w:ind w:left="360" w:right="360"/>
      </w:pPr>
      <w:r>
        <w:rPr>
          <w:rFonts w:ascii="Consolas" w:hAnsi="Consolas"/>
          <w:sz w:val="18"/>
        </w:rPr>
        <w:t>C_available_for_CH4 = C_anaerobic × (1 − f_burial)</w:t>
      </w:r>
    </w:p>
    <w:p>
      <w:pPr>
        <w:pStyle w:val="Formula"/>
        <w:spacing w:before="60" w:after="60"/>
        <w:ind w:left="360" w:right="360"/>
      </w:pPr>
      <w:r>
        <w:rPr>
          <w:rFonts w:ascii="Consolas" w:hAnsi="Consolas"/>
          <w:sz w:val="18"/>
        </w:rPr>
        <w:t>CH₄_C = C_available_for_CH4 × f_CH4-C</w:t>
      </w:r>
    </w:p>
    <w:p>
      <w:pPr>
        <w:pStyle w:val="Formula"/>
        <w:spacing w:before="60" w:after="60"/>
        <w:ind w:left="360" w:right="360"/>
      </w:pPr>
      <w:r>
        <w:rPr>
          <w:rFonts w:ascii="Consolas" w:hAnsi="Consolas"/>
          <w:sz w:val="18"/>
        </w:rPr>
        <w:t>CH₄_emitted = CH₄_C × (1 − f_oxidation) × (16/12)</w:t>
      </w:r>
    </w:p>
    <w:p>
      <w:r>
        <w:t>Where f_burial is the sediment carbon burial fraction, f_CH4-C is the fraction of anaerobically processed carbon represented as methane carbon in the selected model parameterization, and f_oxidation is the methane oxidation fraction. The exact numerical defaults and source references remain controlled by the Scientific References sheet.</w:t>
      </w:r>
    </w:p>
    <w:p>
      <w:pPr>
        <w:pStyle w:val="Heading3"/>
      </w:pPr>
      <w:r>
        <w:t>Nitrous oxide (N₂O) emission formula</w:t>
      </w:r>
    </w:p>
    <w:p>
      <w:pPr>
        <w:pStyle w:val="Formula"/>
        <w:spacing w:before="60" w:after="60"/>
        <w:ind w:left="360" w:right="360"/>
      </w:pPr>
      <w:r>
        <w:rPr>
          <w:rFonts w:ascii="Consolas" w:hAnsi="Consolas"/>
          <w:sz w:val="18"/>
        </w:rPr>
        <w:t>EF_N2O,adj = EF_N2O × 1.20  if Cyanobacteria_avg &gt; 50%</w:t>
      </w:r>
    </w:p>
    <w:p>
      <w:pPr>
        <w:pStyle w:val="Formula"/>
        <w:spacing w:before="60" w:after="60"/>
        <w:ind w:left="360" w:right="360"/>
      </w:pPr>
      <w:r>
        <w:rPr>
          <w:rFonts w:ascii="Consolas" w:hAnsi="Consolas"/>
          <w:sz w:val="18"/>
        </w:rPr>
        <w:t>EF_N2O,adj = EF_N2O  otherwise</w:t>
      </w:r>
    </w:p>
    <w:p>
      <w:pPr>
        <w:pStyle w:val="Formula"/>
        <w:spacing w:before="60" w:after="60"/>
        <w:ind w:left="360" w:right="360"/>
      </w:pPr>
      <w:r>
        <w:rPr>
          <w:rFonts w:ascii="Consolas" w:hAnsi="Consolas"/>
          <w:sz w:val="18"/>
        </w:rPr>
        <w:t>N₂O-N = N_relevant × EF_N2O,adj</w:t>
      </w:r>
    </w:p>
    <w:p>
      <w:pPr>
        <w:pStyle w:val="Formula"/>
        <w:spacing w:before="60" w:after="60"/>
        <w:ind w:left="360" w:right="360"/>
      </w:pPr>
      <w:r>
        <w:rPr>
          <w:rFonts w:ascii="Consolas" w:hAnsi="Consolas"/>
          <w:sz w:val="18"/>
        </w:rPr>
        <w:t>N₂O = N₂O-N × (44/28)</w:t>
      </w:r>
    </w:p>
    <w:p>
      <w:r>
        <w:t>The +20% cyanobacteria adjustment is a model coefficient and must be treated as a controlled assumption. It is triggered only when the average cyanobacteria percentage exceeds 50% under the v3.4 rule.</w:t>
      </w:r>
    </w:p>
    <w:p>
      <w:pPr>
        <w:pStyle w:val="Heading2"/>
      </w:pPr>
      <w:r>
        <w:t>2.3 Scope 2: Energy Emissions</w:t>
      </w:r>
    </w:p>
    <w:p>
      <w:r>
        <w:t>For the IMC configuration, mechanical aeration is excluded. Energy inputs are restricted to water pumping and generator/electricity consumption supported by farm records.</w:t>
      </w:r>
    </w:p>
    <w:p>
      <w:pPr>
        <w:pStyle w:val="Formula"/>
        <w:spacing w:before="60" w:after="60"/>
        <w:ind w:left="360" w:right="360"/>
      </w:pPr>
      <w:r>
        <w:rPr>
          <w:rFonts w:ascii="Consolas" w:hAnsi="Consolas"/>
          <w:sz w:val="18"/>
        </w:rPr>
        <w:t>Grid CO₂e = Electricity_used (kWh) × CEA_grid_EF (kg CO₂e/kWh) ÷ 1000</w:t>
      </w:r>
    </w:p>
    <w:p>
      <w:pPr>
        <w:pStyle w:val="Formula"/>
        <w:spacing w:before="60" w:after="60"/>
        <w:ind w:left="360" w:right="360"/>
      </w:pPr>
      <w:r>
        <w:rPr>
          <w:rFonts w:ascii="Consolas" w:hAnsi="Consolas"/>
          <w:sz w:val="18"/>
        </w:rPr>
        <w:t>Diesel CO₂e = Diesel_used (L) × Diesel_EF (kg CO₂e/L) ÷ 1000</w:t>
      </w:r>
    </w:p>
    <w:p>
      <w:pPr>
        <w:pStyle w:val="Formula"/>
        <w:spacing w:before="60" w:after="60"/>
        <w:ind w:left="360" w:right="360"/>
      </w:pPr>
      <w:r>
        <w:rPr>
          <w:rFonts w:ascii="Consolas" w:hAnsi="Consolas"/>
          <w:sz w:val="18"/>
        </w:rPr>
        <w:t>Energy CO₂e = Grid CO₂e + Diesel CO₂e + other eligible energy sources</w:t>
      </w:r>
    </w:p>
    <w:p>
      <w:r>
        <w:t>The CEA grid emission factor must be stored with the applicable database version, financial/assessment year and source reference. The workbook must never silently substitute an unrecorded grid EF version.</w:t>
      </w:r>
    </w:p>
    <w:tbl>
      <w:tblPr>
        <w:tblStyle w:val="TableGrid"/>
        <w:tblW w:type="auto" w:w="0"/>
        <w:tblLook w:firstColumn="1" w:firstRow="1" w:lastColumn="0" w:lastRow="0" w:noHBand="0" w:noVBand="1" w:val="04A0"/>
      </w:tblPr>
      <w:tblGrid>
        <w:gridCol w:w="10080"/>
      </w:tblGrid>
      <w:tr>
        <w:tc>
          <w:tcPr>
            <w:tcW w:type="dxa" w:w="10080"/>
            <w:shd w:fill="FCE4D6"/>
          </w:tcPr>
          <w:p>
            <w:pPr>
              <w:spacing w:after="40"/>
            </w:pPr>
            <w:r>
              <w:rPr>
                <w:b/>
                <w:color w:val="C00000"/>
              </w:rPr>
              <w:t xml:space="preserve">IMC energy lock:  </w:t>
            </w:r>
            <w:r>
              <w:rPr>
                <w:sz w:val="18"/>
              </w:rPr>
              <w:t>Paddlewheel energy = 0 kWh and Blower energy = 0 kWh. A non-zero value creates an MRV FAIL condition for the IMC configuration.</w:t>
            </w:r>
          </w:p>
        </w:tc>
      </w:tr>
    </w:tbl>
    <w:p>
      <w:pPr>
        <w:spacing w:after="20"/>
      </w:pPr>
    </w:p>
    <w:p>
      <w:pPr>
        <w:pStyle w:val="Heading2"/>
      </w:pPr>
      <w:r>
        <w:t>2.4 Dynamic Ecological Adjustments (v3.4 Specifics)</w:t>
      </w:r>
    </w:p>
    <w:p>
      <w:pPr>
        <w:pStyle w:val="Heading3"/>
      </w:pPr>
      <w:r>
        <w:t>Seasonal Photosynthesis Factor (SPF)</w:t>
      </w:r>
    </w:p>
    <w:p>
      <w:r>
        <w:t>SPF is a bounded 0–1 proxy for seasonal natural-food potential. It uses latitude, crop dates, day length and extraterrestrial solar radiation. The factor is not a direct measurement of pond photosynthesis; it is a seasonal forcing variable that is subsequently moderated by measured plankton and water-quality data.</w:t>
      </w:r>
    </w:p>
    <w:p>
      <w:pPr>
        <w:pStyle w:val="Formula"/>
        <w:spacing w:before="60" w:after="60"/>
        <w:ind w:left="360" w:right="360"/>
      </w:pPr>
      <w:r>
        <w:rPr>
          <w:rFonts w:ascii="Consolas" w:hAnsi="Consolas"/>
          <w:sz w:val="18"/>
        </w:rPr>
        <w:t>δ = 0.409 × sin(2πJ/365 − 1.39)</w:t>
      </w:r>
    </w:p>
    <w:p>
      <w:pPr>
        <w:pStyle w:val="Formula"/>
        <w:spacing w:before="60" w:after="60"/>
        <w:ind w:left="360" w:right="360"/>
      </w:pPr>
      <w:r>
        <w:rPr>
          <w:rFonts w:ascii="Consolas" w:hAnsi="Consolas"/>
          <w:sz w:val="18"/>
        </w:rPr>
        <w:t>ω_s = arccos[−tan(φ) × tan(δ)]</w:t>
      </w:r>
    </w:p>
    <w:p>
      <w:pPr>
        <w:pStyle w:val="Formula"/>
        <w:spacing w:before="60" w:after="60"/>
        <w:ind w:left="360" w:right="360"/>
      </w:pPr>
      <w:r>
        <w:rPr>
          <w:rFonts w:ascii="Consolas" w:hAnsi="Consolas"/>
          <w:sz w:val="18"/>
        </w:rPr>
        <w:t>N = (24/π) × ω_s</w:t>
      </w:r>
    </w:p>
    <w:p>
      <w:pPr>
        <w:pStyle w:val="Formula"/>
        <w:spacing w:before="60" w:after="60"/>
        <w:ind w:left="360" w:right="360"/>
      </w:pPr>
      <w:r>
        <w:rPr>
          <w:rFonts w:ascii="Consolas" w:hAnsi="Consolas"/>
          <w:sz w:val="18"/>
        </w:rPr>
        <w:t>R_a = (24×60/π) × 0.0820 × d_r × [ω_s sinφ sinδ + cosφ cosδ sinω_s]</w:t>
      </w:r>
    </w:p>
    <w:p>
      <w:pPr>
        <w:pStyle w:val="Formula"/>
        <w:spacing w:before="60" w:after="60"/>
        <w:ind w:left="360" w:right="360"/>
      </w:pPr>
      <w:r>
        <w:rPr>
          <w:rFonts w:ascii="Consolas" w:hAnsi="Consolas"/>
          <w:sz w:val="18"/>
        </w:rPr>
        <w:t>SPF = clamp(0, 1, 0.80 × SolarRadiationFactor + 0.20 × DaylightFactor)</w:t>
      </w:r>
    </w:p>
    <w:p>
      <w:r>
        <w:t>φ is latitude in radians; J is day of year; d_r = 1 + 0.033 cos(2πJ/365). The v3.4 implementation uses solar radiation as the dominant component and daylight as a secondary component.</w:t>
      </w:r>
    </w:p>
    <w:p>
      <w:pPr>
        <w:pStyle w:val="Heading3"/>
      </w:pPr>
      <w:r>
        <w:t>Plankton Quality Index (PQI)</w:t>
      </w:r>
    </w:p>
    <w:p>
      <w:pPr>
        <w:pStyle w:val="Formula"/>
        <w:spacing w:before="60" w:after="60"/>
        <w:ind w:left="360" w:right="360"/>
      </w:pPr>
      <w:r>
        <w:rPr>
          <w:rFonts w:ascii="Consolas" w:hAnsi="Consolas"/>
          <w:sz w:val="18"/>
        </w:rPr>
        <w:t>AQI = min[1, (Diatoms% + GreenAlgae%) / 60%]</w:t>
      </w:r>
    </w:p>
    <w:p>
      <w:pPr>
        <w:pStyle w:val="Formula"/>
        <w:spacing w:before="60" w:after="60"/>
        <w:ind w:left="360" w:right="360"/>
      </w:pPr>
      <w:r>
        <w:rPr>
          <w:rFonts w:ascii="Consolas" w:hAnsi="Consolas"/>
          <w:sz w:val="18"/>
        </w:rPr>
        <w:t>ZQI = ZooplanktonScore / 3</w:t>
      </w:r>
    </w:p>
    <w:p>
      <w:pPr>
        <w:pStyle w:val="Formula"/>
        <w:spacing w:before="60" w:after="60"/>
        <w:ind w:left="360" w:right="360"/>
      </w:pPr>
      <w:r>
        <w:rPr>
          <w:rFonts w:ascii="Consolas" w:hAnsi="Consolas"/>
          <w:sz w:val="18"/>
        </w:rPr>
        <w:t>PQI = 0.60 × AQI + 0.40 × ZQI</w:t>
      </w:r>
    </w:p>
    <w:p>
      <w:r>
        <w:t>Cyanobacteria are not treated as a positive PQI component. They are handled as a separate risk modifier.</w:t>
      </w:r>
    </w:p>
    <w:p>
      <w:pPr>
        <w:pStyle w:val="Heading3"/>
      </w:pPr>
      <w:r>
        <w:t>Natural Feed Offset</w:t>
      </w:r>
    </w:p>
    <w:p>
      <w:pPr>
        <w:pStyle w:val="Formula"/>
        <w:spacing w:before="60" w:after="60"/>
        <w:ind w:left="360" w:right="360"/>
      </w:pPr>
      <w:r>
        <w:rPr>
          <w:rFonts w:ascii="Consolas" w:hAnsi="Consolas"/>
          <w:sz w:val="18"/>
        </w:rPr>
        <w:t>NaturalOffset = 0, if WQ completeness &lt; 75%</w:t>
      </w:r>
    </w:p>
    <w:p>
      <w:pPr>
        <w:pStyle w:val="Formula"/>
        <w:spacing w:before="60" w:after="60"/>
        <w:ind w:left="360" w:right="360"/>
      </w:pPr>
      <w:r>
        <w:rPr>
          <w:rFonts w:ascii="Consolas" w:hAnsi="Consolas"/>
          <w:sz w:val="18"/>
        </w:rPr>
        <w:t>NaturalOffset = min(20%, 20% × PQI × SPF), if Cyanobacteria_avg ≤ 50%</w:t>
      </w:r>
    </w:p>
    <w:p>
      <w:pPr>
        <w:pStyle w:val="Formula"/>
        <w:spacing w:before="60" w:after="60"/>
        <w:ind w:left="360" w:right="360"/>
      </w:pPr>
      <w:r>
        <w:rPr>
          <w:rFonts w:ascii="Consolas" w:hAnsi="Consolas"/>
          <w:sz w:val="18"/>
        </w:rPr>
        <w:t>NaturalOffset = min(5%, 20% × PQI × SPF), if Cyanobacteria_avg &gt; 50%</w:t>
      </w:r>
    </w:p>
    <w:p>
      <w:pPr>
        <w:pStyle w:val="Formula"/>
        <w:spacing w:before="60" w:after="60"/>
        <w:ind w:left="360" w:right="360"/>
      </w:pPr>
      <w:r>
        <w:rPr>
          <w:rFonts w:ascii="Consolas" w:hAnsi="Consolas"/>
          <w:sz w:val="18"/>
        </w:rPr>
        <w:t>AdjustedFeedRequirement = BaselineFeedRequirement × (1 − NaturalOffset) × FCR/DO adjustments</w:t>
      </w:r>
    </w:p>
    <w:tbl>
      <w:tblPr>
        <w:tblStyle w:val="TableGrid"/>
        <w:tblW w:type="auto" w:w="0"/>
        <w:tblLook w:firstColumn="1" w:firstRow="1" w:lastColumn="0" w:lastRow="0" w:noHBand="0" w:noVBand="1" w:val="04A0"/>
      </w:tblPr>
      <w:tblGrid>
        <w:gridCol w:w="10080"/>
      </w:tblGrid>
      <w:tr>
        <w:tc>
          <w:tcPr>
            <w:tcW w:type="dxa" w:w="10080"/>
            <w:shd w:fill="FFF2CC"/>
          </w:tcPr>
          <w:p>
            <w:pPr>
              <w:spacing w:after="40"/>
            </w:pPr>
            <w:r>
              <w:rPr>
                <w:b/>
                <w:color w:val="BF9000"/>
              </w:rPr>
              <w:t xml:space="preserve">Interpretation:  </w:t>
            </w:r>
            <w:r>
              <w:rPr>
                <w:sz w:val="18"/>
              </w:rPr>
              <w:t>NaturalOffset is a bounded modelled credit for natural food availability. It must not be presented as direct measurement of avoided feed. Actual feed used remains the preferred MRV quantity for emissions accounting.</w:t>
            </w:r>
          </w:p>
        </w:tc>
      </w:tr>
    </w:tbl>
    <w:p>
      <w:pPr>
        <w:spacing w:after="20"/>
      </w:pPr>
    </w:p>
    <w:p>
      <w:pPr>
        <w:pStyle w:val="Heading3"/>
      </w:pPr>
      <w:r>
        <w:t>Punch Bag Feeding System</w:t>
      </w:r>
    </w:p>
    <w:p>
      <w:pPr>
        <w:pStyle w:val="Formula"/>
        <w:spacing w:before="60" w:after="60"/>
        <w:ind w:left="360" w:right="360"/>
      </w:pPr>
      <w:r>
        <w:rPr>
          <w:rFonts w:ascii="Consolas" w:hAnsi="Consolas"/>
          <w:sz w:val="18"/>
        </w:rPr>
        <w:t>FCR_PunchBag = FCR_baseline × (1 − 0.125)  when Punch Bag = Yes</w:t>
      </w:r>
    </w:p>
    <w:p>
      <w:pPr>
        <w:pStyle w:val="Formula"/>
        <w:spacing w:before="60" w:after="60"/>
        <w:ind w:left="360" w:right="360"/>
      </w:pPr>
      <w:r>
        <w:rPr>
          <w:rFonts w:ascii="Consolas" w:hAnsi="Consolas"/>
          <w:sz w:val="18"/>
        </w:rPr>
        <w:t>FCR_PunchBag = FCR_baseline  when Punch Bag = No</w:t>
      </w:r>
    </w:p>
    <w:p>
      <w:r>
        <w:t>The 12.5% value is the midpoint of the v3.4 10–15% indicative improvement range. The separate 10% wastage-reduction KPI is retained as a management indicator and is not multiplied again into the FCR calculation, preventing double counting.</w:t>
      </w:r>
    </w:p>
    <w:p>
      <w:pPr>
        <w:pStyle w:val="Heading3"/>
      </w:pPr>
      <w:r>
        <w:t>Diurnal DO Stress Penalty</w:t>
      </w:r>
    </w:p>
    <w:p>
      <w:pPr>
        <w:pStyle w:val="Formula"/>
        <w:spacing w:before="60" w:after="60"/>
        <w:ind w:left="360" w:right="360"/>
      </w:pPr>
      <w:r>
        <w:rPr>
          <w:rFonts w:ascii="Consolas" w:hAnsi="Consolas"/>
          <w:sz w:val="18"/>
        </w:rPr>
        <w:t>DO_stress_factor = 1.10, if average Pre-dawn DO &lt; 3.0 mg/L</w:t>
      </w:r>
    </w:p>
    <w:p>
      <w:pPr>
        <w:pStyle w:val="Formula"/>
        <w:spacing w:before="60" w:after="60"/>
        <w:ind w:left="360" w:right="360"/>
      </w:pPr>
      <w:r>
        <w:rPr>
          <w:rFonts w:ascii="Consolas" w:hAnsi="Consolas"/>
          <w:sz w:val="18"/>
        </w:rPr>
        <w:t>DO_stress_factor = 1.00, otherwise</w:t>
      </w:r>
    </w:p>
    <w:p>
      <w:pPr>
        <w:pStyle w:val="Formula"/>
        <w:spacing w:before="60" w:after="60"/>
        <w:ind w:left="360" w:right="360"/>
      </w:pPr>
      <w:r>
        <w:rPr>
          <w:rFonts w:ascii="Consolas" w:hAnsi="Consolas"/>
          <w:sz w:val="18"/>
        </w:rPr>
        <w:t>FCR_effective = FCR_adjusted × DO_stress_factor</w:t>
      </w:r>
    </w:p>
    <w:p>
      <w:r>
        <w:t>The 10% penalty is a controlled model coefficient. It represents increased stress-related inefficiency and environmental loading under repeated low pre-dawn oxygen conditions.</w:t>
      </w:r>
    </w:p>
    <w:p>
      <w:pPr>
        <w:pStyle w:val="Heading2"/>
      </w:pPr>
      <w:r>
        <w:t>2.5 Benthic Coupling — Soil Carbon</w:t>
      </w:r>
    </w:p>
    <w:p>
      <w:r>
        <w:t>The v3.4 soil carbon calculation converts the change in measured soil organic carbon concentration into an estimated mass of carbon in the sampled soil layer.</w:t>
      </w:r>
    </w:p>
    <w:p>
      <w:pPr>
        <w:pStyle w:val="Formula"/>
        <w:spacing w:before="60" w:after="60"/>
        <w:ind w:left="360" w:right="360"/>
      </w:pPr>
      <w:r>
        <w:rPr>
          <w:rFonts w:ascii="Consolas" w:hAnsi="Consolas"/>
          <w:sz w:val="18"/>
        </w:rPr>
        <w:t>ΔSOC_mass (t C) = [(SOC_post − SOC_pre) / 100] × BD × Depth × Area_ha × 10,000</w:t>
      </w:r>
    </w:p>
    <w:p>
      <w:r>
        <w:t>SOC_pre and SOC_post are percentages; BD is bulk density in t/m³ (numerically equal to g/cm³); Depth is sampling depth in metres; Area_ha is pond area in hectares; 10,000 converts hectares to square metres.</w:t>
      </w:r>
    </w:p>
    <w:p>
      <w:pPr>
        <w:pStyle w:val="Formula"/>
        <w:spacing w:before="60" w:after="60"/>
        <w:ind w:left="360" w:right="360"/>
      </w:pPr>
      <w:r>
        <w:rPr>
          <w:rFonts w:ascii="Consolas" w:hAnsi="Consolas"/>
          <w:sz w:val="18"/>
        </w:rPr>
        <w:t>ΔSOC_annualized = ΔSOC_mass × 365 / (PostTestDate − PreTestDate)</w:t>
      </w:r>
    </w:p>
    <w:p>
      <w:pPr>
        <w:pStyle w:val="Formula"/>
        <w:spacing w:before="60" w:after="60"/>
        <w:ind w:left="360" w:right="360"/>
      </w:pPr>
      <w:r>
        <w:rPr>
          <w:rFonts w:ascii="Consolas" w:hAnsi="Consolas"/>
          <w:sz w:val="18"/>
        </w:rPr>
        <w:t>CO₂e_equivalent = ΔSOC_annualized × (44/12)</w:t>
      </w:r>
    </w:p>
    <w:tbl>
      <w:tblPr>
        <w:tblStyle w:val="TableGrid"/>
        <w:tblW w:type="auto" w:w="0"/>
        <w:tblLook w:firstColumn="1" w:firstRow="1" w:lastColumn="0" w:lastRow="0" w:noHBand="0" w:noVBand="1" w:val="04A0"/>
      </w:tblPr>
      <w:tblGrid>
        <w:gridCol w:w="10080"/>
      </w:tblGrid>
      <w:tr>
        <w:tc>
          <w:tcPr>
            <w:tcW w:type="dxa" w:w="10080"/>
            <w:shd w:fill="D9EAF7"/>
          </w:tcPr>
          <w:p>
            <w:pPr>
              <w:spacing w:after="40"/>
            </w:pPr>
            <w:r>
              <w:rPr>
                <w:b/>
                <w:color w:val="17365D"/>
              </w:rPr>
              <w:t xml:space="preserve">Sign convention:  </w:t>
            </w:r>
            <w:r>
              <w:rPr>
                <w:sz w:val="18"/>
              </w:rPr>
              <w:t>Positive ΔSOC indicates an increase in measured sediment carbon; negative ΔSOC indicates depletion. The signed result must be retained in the audit record.</w:t>
            </w:r>
          </w:p>
        </w:tc>
      </w:tr>
    </w:tbl>
    <w:p>
      <w:pPr>
        <w:spacing w:after="20"/>
      </w:pPr>
    </w:p>
    <w:p>
      <w:r>
        <w:br w:type="page"/>
      </w:r>
    </w:p>
    <w:p>
      <w:pPr>
        <w:pStyle w:val="Heading1"/>
      </w:pPr>
      <w:r>
        <w:t>Section 3: Carbon Credit Finalization &amp; Integrity Checks</w:t>
      </w:r>
    </w:p>
    <w:p>
      <w:pPr>
        <w:pStyle w:val="Heading2"/>
      </w:pPr>
      <w:r>
        <w:t>3.1 Net Emission &amp; Carbon Reduction</w:t>
      </w:r>
    </w:p>
    <w:p>
      <w:r>
        <w:t>The carbon-reduction comparison is made between a defined baseline scenario and the improved-farming scenario using the same production boundary, functional unit, crop duration and emission categories.</w:t>
      </w:r>
    </w:p>
    <w:p>
      <w:pPr>
        <w:pStyle w:val="Formula"/>
        <w:spacing w:before="60" w:after="60"/>
        <w:ind w:left="360" w:right="360"/>
      </w:pPr>
      <w:r>
        <w:rPr>
          <w:rFonts w:ascii="Consolas" w:hAnsi="Consolas"/>
          <w:sz w:val="18"/>
        </w:rPr>
        <w:t>Baseline_Net_Emission = Scope1_baseline + Scope2_baseline + Scope3_baseline</w:t>
      </w:r>
    </w:p>
    <w:p>
      <w:pPr>
        <w:pStyle w:val="Formula"/>
        <w:spacing w:before="60" w:after="60"/>
        <w:ind w:left="360" w:right="360"/>
      </w:pPr>
      <w:r>
        <w:rPr>
          <w:rFonts w:ascii="Consolas" w:hAnsi="Consolas"/>
          <w:sz w:val="18"/>
        </w:rPr>
        <w:t>Improved_Net_Emission = Scope1_improved + Scope2_improved + Scope3_improved</w:t>
      </w:r>
    </w:p>
    <w:p>
      <w:pPr>
        <w:pStyle w:val="Formula"/>
        <w:spacing w:before="60" w:after="60"/>
        <w:ind w:left="360" w:right="360"/>
      </w:pPr>
      <w:r>
        <w:rPr>
          <w:rFonts w:ascii="Consolas" w:hAnsi="Consolas"/>
          <w:sz w:val="18"/>
        </w:rPr>
        <w:t>Gross_Emission_Reduction = Baseline_Net_Emission − Improved_Net_Emission</w:t>
      </w:r>
    </w:p>
    <w:p>
      <w:r>
        <w:t>The final report shall state whether the result is a screening estimate, an internal MRV result or a creditable reduction under a specified external methodology. No carbon-credit claim shall be generated solely from the spreadsheet result.</w:t>
      </w:r>
    </w:p>
    <w:p>
      <w:pPr>
        <w:pStyle w:val="Heading2"/>
      </w:pPr>
      <w:r>
        <w:t>3.2 MRV Integrity Traffic Lights</w:t>
      </w:r>
    </w:p>
    <w:p>
      <w:r>
        <w:t>The v3.4 engine should classify each control as PASS, REVIEW or FAIL. A final credit-claim dataset should not be released when a critical control is FAIL.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center"/>
            <w:shd w:fill="17365D"/>
          </w:tcPr>
          <w:p>
            <w:pPr>
              <w:spacing w:after="0"/>
            </w:pPr>
            <w:r/>
            <w:r>
              <w:rPr>
                <w:rFonts w:ascii="Aptos" w:hAnsi="Aptos"/>
                <w:b/>
                <w:color w:val="FFFFFF"/>
                <w:sz w:val="17"/>
              </w:rPr>
              <w:t>Control</w:t>
            </w:r>
          </w:p>
        </w:tc>
        <w:tc>
          <w:tcPr>
            <w:tcW w:type="dxa" w:w="2880"/>
            <w:vAlign w:val="center"/>
            <w:shd w:fill="17365D"/>
          </w:tcPr>
          <w:p>
            <w:pPr>
              <w:spacing w:after="0"/>
            </w:pPr>
            <w:r/>
            <w:r>
              <w:rPr>
                <w:rFonts w:ascii="Aptos" w:hAnsi="Aptos"/>
                <w:b/>
                <w:color w:val="FFFFFF"/>
                <w:sz w:val="17"/>
              </w:rPr>
              <w:t>PASS condition</w:t>
            </w:r>
          </w:p>
        </w:tc>
        <w:tc>
          <w:tcPr>
            <w:tcW w:type="dxa" w:w="2592"/>
            <w:vAlign w:val="center"/>
            <w:shd w:fill="17365D"/>
          </w:tcPr>
          <w:p>
            <w:pPr>
              <w:spacing w:after="0"/>
            </w:pPr>
            <w:r/>
            <w:r>
              <w:rPr>
                <w:rFonts w:ascii="Aptos" w:hAnsi="Aptos"/>
                <w:b/>
                <w:color w:val="FFFFFF"/>
                <w:sz w:val="17"/>
              </w:rPr>
              <w:t>REVIEW condition</w:t>
            </w:r>
          </w:p>
        </w:tc>
        <w:tc>
          <w:tcPr>
            <w:tcW w:type="dxa" w:w="2880"/>
            <w:vAlign w:val="center"/>
            <w:shd w:fill="17365D"/>
          </w:tcPr>
          <w:p>
            <w:pPr>
              <w:spacing w:after="0"/>
            </w:pPr>
            <w:r/>
            <w:r>
              <w:rPr>
                <w:rFonts w:ascii="Aptos" w:hAnsi="Aptos"/>
                <w:b/>
                <w:color w:val="FFFFFF"/>
                <w:sz w:val="17"/>
              </w:rPr>
              <w:t>FAIL condition</w:t>
            </w:r>
          </w:p>
        </w:tc>
      </w:tr>
      <w:tr>
        <w:tc>
          <w:tcPr>
            <w:tcW w:type="dxa" w:w="2088"/>
            <w:vAlign w:val="center"/>
          </w:tcPr>
          <w:p>
            <w:pPr>
              <w:spacing w:after="0"/>
            </w:pPr>
            <w:r>
              <w:rPr>
                <w:b/>
              </w:rPr>
            </w:r>
            <w:r>
              <w:rPr>
                <w:rFonts w:ascii="Aptos" w:hAnsi="Aptos"/>
                <w:b w:val="0"/>
                <w:color w:val="222222"/>
                <w:sz w:val="16"/>
              </w:rPr>
              <w:t>IMC Aeration Lock</w:t>
            </w:r>
          </w:p>
        </w:tc>
        <w:tc>
          <w:tcPr>
            <w:tcW w:type="dxa" w:w="2880"/>
            <w:vAlign w:val="center"/>
          </w:tcPr>
          <w:p>
            <w:pPr>
              <w:spacing w:after="0"/>
            </w:pPr>
            <w:r/>
            <w:r>
              <w:rPr>
                <w:rFonts w:ascii="Aptos" w:hAnsi="Aptos"/>
                <w:b w:val="0"/>
                <w:color w:val="222222"/>
                <w:sz w:val="16"/>
              </w:rPr>
              <w:t>Paddlewheel = 0 and Blower = 0</w:t>
            </w:r>
          </w:p>
        </w:tc>
        <w:tc>
          <w:tcPr>
            <w:tcW w:type="dxa" w:w="2592"/>
            <w:vAlign w:val="center"/>
          </w:tcPr>
          <w:p>
            <w:pPr>
              <w:spacing w:after="0"/>
            </w:pPr>
            <w:r/>
            <w:r>
              <w:rPr>
                <w:rFonts w:ascii="Aptos" w:hAnsi="Aptos"/>
                <w:b w:val="0"/>
                <w:color w:val="222222"/>
                <w:sz w:val="16"/>
              </w:rPr>
              <w:t>Not applicable</w:t>
            </w:r>
          </w:p>
        </w:tc>
        <w:tc>
          <w:tcPr>
            <w:tcW w:type="dxa" w:w="2880"/>
            <w:vAlign w:val="center"/>
          </w:tcPr>
          <w:p>
            <w:pPr>
              <w:spacing w:after="0"/>
            </w:pPr>
            <w:r/>
            <w:r>
              <w:rPr>
                <w:rFonts w:ascii="Aptos" w:hAnsi="Aptos"/>
                <w:b w:val="0"/>
                <w:color w:val="222222"/>
                <w:sz w:val="16"/>
              </w:rPr>
              <w:t>Any non-zero mechanical aeration input</w:t>
            </w:r>
          </w:p>
        </w:tc>
      </w:tr>
      <w:tr>
        <w:tc>
          <w:tcPr>
            <w:tcW w:type="dxa" w:w="2088"/>
            <w:vAlign w:val="center"/>
          </w:tcPr>
          <w:p>
            <w:pPr>
              <w:spacing w:after="0"/>
            </w:pPr>
            <w:r>
              <w:rPr>
                <w:b/>
              </w:rPr>
            </w:r>
            <w:r>
              <w:rPr>
                <w:rFonts w:ascii="Aptos" w:hAnsi="Aptos"/>
                <w:b w:val="0"/>
                <w:color w:val="222222"/>
                <w:sz w:val="16"/>
              </w:rPr>
              <w:t>Crop dates</w:t>
            </w:r>
          </w:p>
        </w:tc>
        <w:tc>
          <w:tcPr>
            <w:tcW w:type="dxa" w:w="2880"/>
            <w:vAlign w:val="center"/>
          </w:tcPr>
          <w:p>
            <w:pPr>
              <w:spacing w:after="0"/>
            </w:pPr>
            <w:r/>
            <w:r>
              <w:rPr>
                <w:rFonts w:ascii="Aptos" w:hAnsi="Aptos"/>
                <w:b w:val="0"/>
                <w:color w:val="222222"/>
                <w:sz w:val="16"/>
              </w:rPr>
              <w:t>Valid stocking and harvest dates</w:t>
            </w:r>
          </w:p>
        </w:tc>
        <w:tc>
          <w:tcPr>
            <w:tcW w:type="dxa" w:w="2592"/>
            <w:vAlign w:val="center"/>
          </w:tcPr>
          <w:p>
            <w:pPr>
              <w:spacing w:after="0"/>
            </w:pPr>
            <w:r/>
            <w:r>
              <w:rPr>
                <w:rFonts w:ascii="Aptos" w:hAnsi="Aptos"/>
                <w:b w:val="0"/>
                <w:color w:val="222222"/>
                <w:sz w:val="16"/>
              </w:rPr>
              <w:t>Date changed after plan</w:t>
            </w:r>
          </w:p>
        </w:tc>
        <w:tc>
          <w:tcPr>
            <w:tcW w:type="dxa" w:w="2880"/>
            <w:vAlign w:val="center"/>
          </w:tcPr>
          <w:p>
            <w:pPr>
              <w:spacing w:after="0"/>
            </w:pPr>
            <w:r/>
            <w:r>
              <w:rPr>
                <w:rFonts w:ascii="Aptos" w:hAnsi="Aptos"/>
                <w:b w:val="0"/>
                <w:color w:val="222222"/>
                <w:sz w:val="16"/>
              </w:rPr>
              <w:t>Missing or harvest ≤ stocking</w:t>
            </w:r>
          </w:p>
        </w:tc>
      </w:tr>
      <w:tr>
        <w:tc>
          <w:tcPr>
            <w:tcW w:type="dxa" w:w="2088"/>
            <w:vAlign w:val="center"/>
          </w:tcPr>
          <w:p>
            <w:pPr>
              <w:spacing w:after="0"/>
            </w:pPr>
            <w:r>
              <w:rPr>
                <w:b/>
              </w:rPr>
            </w:r>
            <w:r>
              <w:rPr>
                <w:rFonts w:ascii="Aptos" w:hAnsi="Aptos"/>
                <w:b w:val="0"/>
                <w:color w:val="222222"/>
                <w:sz w:val="16"/>
              </w:rPr>
              <w:t>Feed mix</w:t>
            </w:r>
          </w:p>
        </w:tc>
        <w:tc>
          <w:tcPr>
            <w:tcW w:type="dxa" w:w="2880"/>
            <w:vAlign w:val="center"/>
          </w:tcPr>
          <w:p>
            <w:pPr>
              <w:spacing w:after="0"/>
            </w:pPr>
            <w:r/>
            <w:r>
              <w:rPr>
                <w:rFonts w:ascii="Aptos" w:hAnsi="Aptos"/>
                <w:b w:val="0"/>
                <w:color w:val="222222"/>
                <w:sz w:val="16"/>
              </w:rPr>
              <w:t>Actual ingredient mix sums to 100%</w:t>
            </w:r>
          </w:p>
        </w:tc>
        <w:tc>
          <w:tcPr>
            <w:tcW w:type="dxa" w:w="2592"/>
            <w:vAlign w:val="center"/>
          </w:tcPr>
          <w:p>
            <w:pPr>
              <w:spacing w:after="0"/>
            </w:pPr>
            <w:r/>
            <w:r>
              <w:rPr>
                <w:rFonts w:ascii="Aptos" w:hAnsi="Aptos"/>
                <w:b w:val="0"/>
                <w:color w:val="222222"/>
                <w:sz w:val="16"/>
              </w:rPr>
              <w:t>Temporary reference mix only</w:t>
            </w:r>
          </w:p>
        </w:tc>
        <w:tc>
          <w:tcPr>
            <w:tcW w:type="dxa" w:w="2880"/>
            <w:vAlign w:val="center"/>
          </w:tcPr>
          <w:p>
            <w:pPr>
              <w:spacing w:after="0"/>
            </w:pPr>
            <w:r/>
            <w:r>
              <w:rPr>
                <w:rFonts w:ascii="Aptos" w:hAnsi="Aptos"/>
                <w:b w:val="0"/>
                <w:color w:val="222222"/>
                <w:sz w:val="16"/>
              </w:rPr>
              <w:t>Mix total ≠100% or zero total</w:t>
            </w:r>
          </w:p>
        </w:tc>
      </w:tr>
      <w:tr>
        <w:tc>
          <w:tcPr>
            <w:tcW w:type="dxa" w:w="2088"/>
            <w:vAlign w:val="center"/>
          </w:tcPr>
          <w:p>
            <w:pPr>
              <w:spacing w:after="0"/>
            </w:pPr>
            <w:r>
              <w:rPr>
                <w:b/>
              </w:rPr>
            </w:r>
            <w:r>
              <w:rPr>
                <w:rFonts w:ascii="Aptos" w:hAnsi="Aptos"/>
                <w:b w:val="0"/>
                <w:color w:val="222222"/>
                <w:sz w:val="16"/>
              </w:rPr>
              <w:t>Feed evidence</w:t>
            </w:r>
          </w:p>
        </w:tc>
        <w:tc>
          <w:tcPr>
            <w:tcW w:type="dxa" w:w="2880"/>
            <w:vAlign w:val="center"/>
          </w:tcPr>
          <w:p>
            <w:pPr>
              <w:spacing w:after="0"/>
            </w:pPr>
            <w:r/>
            <w:r>
              <w:rPr>
                <w:rFonts w:ascii="Aptos" w:hAnsi="Aptos"/>
                <w:b w:val="0"/>
                <w:color w:val="222222"/>
                <w:sz w:val="16"/>
              </w:rPr>
              <w:t>Invoices + inventory reconciliation</w:t>
            </w:r>
          </w:p>
        </w:tc>
        <w:tc>
          <w:tcPr>
            <w:tcW w:type="dxa" w:w="2592"/>
            <w:vAlign w:val="center"/>
          </w:tcPr>
          <w:p>
            <w:pPr>
              <w:spacing w:after="0"/>
            </w:pPr>
            <w:r/>
            <w:r>
              <w:rPr>
                <w:rFonts w:ascii="Aptos" w:hAnsi="Aptos"/>
                <w:b w:val="0"/>
                <w:color w:val="222222"/>
                <w:sz w:val="16"/>
              </w:rPr>
              <w:t>Invoices incomplete</w:t>
            </w:r>
          </w:p>
        </w:tc>
        <w:tc>
          <w:tcPr>
            <w:tcW w:type="dxa" w:w="2880"/>
            <w:vAlign w:val="center"/>
          </w:tcPr>
          <w:p>
            <w:pPr>
              <w:spacing w:after="0"/>
            </w:pPr>
            <w:r/>
            <w:r>
              <w:rPr>
                <w:rFonts w:ascii="Aptos" w:hAnsi="Aptos"/>
                <w:b w:val="0"/>
                <w:color w:val="222222"/>
                <w:sz w:val="16"/>
              </w:rPr>
              <w:t>No traceable feed quantity for final MRV</w:t>
            </w:r>
          </w:p>
        </w:tc>
      </w:tr>
      <w:tr>
        <w:tc>
          <w:tcPr>
            <w:tcW w:type="dxa" w:w="2088"/>
            <w:vAlign w:val="center"/>
          </w:tcPr>
          <w:p>
            <w:pPr>
              <w:spacing w:after="0"/>
            </w:pPr>
            <w:r>
              <w:rPr>
                <w:b/>
              </w:rPr>
            </w:r>
            <w:r>
              <w:rPr>
                <w:rFonts w:ascii="Aptos" w:hAnsi="Aptos"/>
                <w:b w:val="0"/>
                <w:color w:val="222222"/>
                <w:sz w:val="16"/>
              </w:rPr>
              <w:t>WQ completeness</w:t>
            </w:r>
          </w:p>
        </w:tc>
        <w:tc>
          <w:tcPr>
            <w:tcW w:type="dxa" w:w="2880"/>
            <w:vAlign w:val="center"/>
          </w:tcPr>
          <w:p>
            <w:pPr>
              <w:spacing w:after="0"/>
            </w:pPr>
            <w:r/>
            <w:r>
              <w:rPr>
                <w:rFonts w:ascii="Aptos" w:hAnsi="Aptos"/>
                <w:b w:val="0"/>
                <w:color w:val="222222"/>
                <w:sz w:val="16"/>
              </w:rPr>
              <w:t>≥90%</w:t>
            </w:r>
          </w:p>
        </w:tc>
        <w:tc>
          <w:tcPr>
            <w:tcW w:type="dxa" w:w="2592"/>
            <w:vAlign w:val="center"/>
          </w:tcPr>
          <w:p>
            <w:pPr>
              <w:spacing w:after="0"/>
            </w:pPr>
            <w:r/>
            <w:r>
              <w:rPr>
                <w:rFonts w:ascii="Aptos" w:hAnsi="Aptos"/>
                <w:b w:val="0"/>
                <w:color w:val="222222"/>
                <w:sz w:val="16"/>
              </w:rPr>
              <w:t>75–89%</w:t>
            </w:r>
          </w:p>
        </w:tc>
        <w:tc>
          <w:tcPr>
            <w:tcW w:type="dxa" w:w="2880"/>
            <w:vAlign w:val="center"/>
          </w:tcPr>
          <w:p>
            <w:pPr>
              <w:spacing w:after="0"/>
            </w:pPr>
            <w:r/>
            <w:r>
              <w:rPr>
                <w:rFonts w:ascii="Aptos" w:hAnsi="Aptos"/>
                <w:b w:val="0"/>
                <w:color w:val="222222"/>
                <w:sz w:val="16"/>
              </w:rPr>
              <w:t>&lt;75% when ecological credit is claimed</w:t>
            </w:r>
          </w:p>
        </w:tc>
      </w:tr>
      <w:tr>
        <w:tc>
          <w:tcPr>
            <w:tcW w:type="dxa" w:w="2088"/>
            <w:vAlign w:val="center"/>
          </w:tcPr>
          <w:p>
            <w:pPr>
              <w:spacing w:after="0"/>
            </w:pPr>
            <w:r>
              <w:rPr>
                <w:b/>
              </w:rPr>
            </w:r>
            <w:r>
              <w:rPr>
                <w:rFonts w:ascii="Aptos" w:hAnsi="Aptos"/>
                <w:b w:val="0"/>
                <w:color w:val="222222"/>
                <w:sz w:val="16"/>
              </w:rPr>
              <w:t>Cyanobacteria</w:t>
            </w:r>
          </w:p>
        </w:tc>
        <w:tc>
          <w:tcPr>
            <w:tcW w:type="dxa" w:w="2880"/>
            <w:vAlign w:val="center"/>
          </w:tcPr>
          <w:p>
            <w:pPr>
              <w:spacing w:after="0"/>
            </w:pPr>
            <w:r/>
            <w:r>
              <w:rPr>
                <w:rFonts w:ascii="Aptos" w:hAnsi="Aptos"/>
                <w:b w:val="0"/>
                <w:color w:val="222222"/>
                <w:sz w:val="16"/>
              </w:rPr>
              <w:t>0–50% with evidence</w:t>
            </w:r>
          </w:p>
        </w:tc>
        <w:tc>
          <w:tcPr>
            <w:tcW w:type="dxa" w:w="2592"/>
            <w:vAlign w:val="center"/>
          </w:tcPr>
          <w:p>
            <w:pPr>
              <w:spacing w:after="0"/>
            </w:pPr>
            <w:r/>
            <w:r>
              <w:rPr>
                <w:rFonts w:ascii="Aptos" w:hAnsi="Aptos"/>
                <w:b w:val="0"/>
                <w:color w:val="222222"/>
                <w:sz w:val="16"/>
              </w:rPr>
              <w:t>&gt;50% with evidence</w:t>
            </w:r>
          </w:p>
        </w:tc>
        <w:tc>
          <w:tcPr>
            <w:tcW w:type="dxa" w:w="2880"/>
            <w:vAlign w:val="center"/>
          </w:tcPr>
          <w:p>
            <w:pPr>
              <w:spacing w:after="0"/>
            </w:pPr>
            <w:r/>
            <w:r>
              <w:rPr>
                <w:rFonts w:ascii="Aptos" w:hAnsi="Aptos"/>
                <w:b w:val="0"/>
                <w:color w:val="222222"/>
                <w:sz w:val="16"/>
              </w:rPr>
              <w:t>Invalid / missing values used as measured</w:t>
            </w:r>
          </w:p>
        </w:tc>
      </w:tr>
      <w:tr>
        <w:tc>
          <w:tcPr>
            <w:tcW w:type="dxa" w:w="2088"/>
            <w:vAlign w:val="center"/>
          </w:tcPr>
          <w:p>
            <w:pPr>
              <w:spacing w:after="0"/>
            </w:pPr>
            <w:r>
              <w:rPr>
                <w:b/>
              </w:rPr>
            </w:r>
            <w:r>
              <w:rPr>
                <w:rFonts w:ascii="Aptos" w:hAnsi="Aptos"/>
                <w:b w:val="0"/>
                <w:color w:val="222222"/>
                <w:sz w:val="16"/>
              </w:rPr>
              <w:t>DO integrity</w:t>
            </w:r>
          </w:p>
        </w:tc>
        <w:tc>
          <w:tcPr>
            <w:tcW w:type="dxa" w:w="2880"/>
            <w:vAlign w:val="center"/>
          </w:tcPr>
          <w:p>
            <w:pPr>
              <w:spacing w:after="0"/>
            </w:pPr>
            <w:r/>
            <w:r>
              <w:rPr>
                <w:rFonts w:ascii="Aptos" w:hAnsi="Aptos"/>
                <w:b w:val="0"/>
                <w:color w:val="222222"/>
                <w:sz w:val="16"/>
              </w:rPr>
              <w:t>Valid pre-dawn observations</w:t>
            </w:r>
          </w:p>
        </w:tc>
        <w:tc>
          <w:tcPr>
            <w:tcW w:type="dxa" w:w="2592"/>
            <w:vAlign w:val="center"/>
          </w:tcPr>
          <w:p>
            <w:pPr>
              <w:spacing w:after="0"/>
            </w:pPr>
            <w:r/>
            <w:r>
              <w:rPr>
                <w:rFonts w:ascii="Aptos" w:hAnsi="Aptos"/>
                <w:b w:val="0"/>
                <w:color w:val="222222"/>
                <w:sz w:val="16"/>
              </w:rPr>
              <w:t>Partial coverage</w:t>
            </w:r>
          </w:p>
        </w:tc>
        <w:tc>
          <w:tcPr>
            <w:tcW w:type="dxa" w:w="2880"/>
            <w:vAlign w:val="center"/>
          </w:tcPr>
          <w:p>
            <w:pPr>
              <w:spacing w:after="0"/>
            </w:pPr>
            <w:r/>
            <w:r>
              <w:rPr>
                <w:rFonts w:ascii="Aptos" w:hAnsi="Aptos"/>
                <w:b w:val="0"/>
                <w:color w:val="222222"/>
                <w:sz w:val="16"/>
              </w:rPr>
              <w:t>Invalid units / impossible values</w:t>
            </w:r>
          </w:p>
        </w:tc>
      </w:tr>
      <w:tr>
        <w:tc>
          <w:tcPr>
            <w:tcW w:type="dxa" w:w="2088"/>
            <w:vAlign w:val="center"/>
          </w:tcPr>
          <w:p>
            <w:pPr>
              <w:spacing w:after="0"/>
            </w:pPr>
            <w:r>
              <w:rPr>
                <w:b/>
              </w:rPr>
            </w:r>
            <w:r>
              <w:rPr>
                <w:rFonts w:ascii="Aptos" w:hAnsi="Aptos"/>
                <w:b w:val="0"/>
                <w:color w:val="222222"/>
                <w:sz w:val="16"/>
              </w:rPr>
              <w:t>Harvest vs model</w:t>
            </w:r>
          </w:p>
        </w:tc>
        <w:tc>
          <w:tcPr>
            <w:tcW w:type="dxa" w:w="2880"/>
            <w:vAlign w:val="center"/>
          </w:tcPr>
          <w:p>
            <w:pPr>
              <w:spacing w:after="0"/>
            </w:pPr>
            <w:r/>
            <w:r>
              <w:rPr>
                <w:rFonts w:ascii="Aptos" w:hAnsi="Aptos"/>
                <w:b w:val="0"/>
                <w:color w:val="222222"/>
                <w:sz w:val="16"/>
              </w:rPr>
              <w:t>Within defined tolerance</w:t>
            </w:r>
          </w:p>
        </w:tc>
        <w:tc>
          <w:tcPr>
            <w:tcW w:type="dxa" w:w="2592"/>
            <w:vAlign w:val="center"/>
          </w:tcPr>
          <w:p>
            <w:pPr>
              <w:spacing w:after="0"/>
            </w:pPr>
            <w:r/>
            <w:r>
              <w:rPr>
                <w:rFonts w:ascii="Aptos" w:hAnsi="Aptos"/>
                <w:b w:val="0"/>
                <w:color w:val="222222"/>
                <w:sz w:val="16"/>
              </w:rPr>
              <w:t>Variance requires review</w:t>
            </w:r>
          </w:p>
        </w:tc>
        <w:tc>
          <w:tcPr>
            <w:tcW w:type="dxa" w:w="2880"/>
            <w:vAlign w:val="center"/>
          </w:tcPr>
          <w:p>
            <w:pPr>
              <w:spacing w:after="0"/>
            </w:pPr>
            <w:r/>
            <w:r>
              <w:rPr>
                <w:rFonts w:ascii="Aptos" w:hAnsi="Aptos"/>
                <w:b w:val="0"/>
                <w:color w:val="222222"/>
                <w:sz w:val="16"/>
              </w:rPr>
              <w:t>Exceeds theoretical maximum materially</w:t>
            </w:r>
          </w:p>
        </w:tc>
      </w:tr>
      <w:tr>
        <w:tc>
          <w:tcPr>
            <w:tcW w:type="dxa" w:w="2088"/>
            <w:vAlign w:val="center"/>
          </w:tcPr>
          <w:p>
            <w:pPr>
              <w:spacing w:after="0"/>
            </w:pPr>
            <w:r>
              <w:rPr>
                <w:b/>
              </w:rPr>
            </w:r>
            <w:r>
              <w:rPr>
                <w:rFonts w:ascii="Aptos" w:hAnsi="Aptos"/>
                <w:b w:val="0"/>
                <w:color w:val="222222"/>
                <w:sz w:val="16"/>
              </w:rPr>
              <w:t>Carbon balance</w:t>
            </w:r>
          </w:p>
        </w:tc>
        <w:tc>
          <w:tcPr>
            <w:tcW w:type="dxa" w:w="2880"/>
            <w:vAlign w:val="center"/>
          </w:tcPr>
          <w:p>
            <w:pPr>
              <w:spacing w:after="0"/>
            </w:pPr>
            <w:r/>
            <w:r>
              <w:rPr>
                <w:rFonts w:ascii="Aptos" w:hAnsi="Aptos"/>
                <w:b w:val="0"/>
                <w:color w:val="222222"/>
                <w:sz w:val="16"/>
              </w:rPr>
              <w:t>Residual within tolerance</w:t>
            </w:r>
          </w:p>
        </w:tc>
        <w:tc>
          <w:tcPr>
            <w:tcW w:type="dxa" w:w="2592"/>
            <w:vAlign w:val="center"/>
          </w:tcPr>
          <w:p>
            <w:pPr>
              <w:spacing w:after="0"/>
            </w:pPr>
            <w:r/>
            <w:r>
              <w:rPr>
                <w:rFonts w:ascii="Aptos" w:hAnsi="Aptos"/>
                <w:b w:val="0"/>
                <w:color w:val="222222"/>
                <w:sz w:val="16"/>
              </w:rPr>
              <w:t>Small unexplained residual</w:t>
            </w:r>
          </w:p>
        </w:tc>
        <w:tc>
          <w:tcPr>
            <w:tcW w:type="dxa" w:w="2880"/>
            <w:vAlign w:val="center"/>
          </w:tcPr>
          <w:p>
            <w:pPr>
              <w:spacing w:after="0"/>
            </w:pPr>
            <w:r/>
            <w:r>
              <w:rPr>
                <w:rFonts w:ascii="Aptos" w:hAnsi="Aptos"/>
                <w:b w:val="0"/>
                <w:color w:val="222222"/>
                <w:sz w:val="16"/>
              </w:rPr>
              <w:t>Material imbalance</w:t>
            </w:r>
          </w:p>
        </w:tc>
      </w:tr>
      <w:tr>
        <w:tc>
          <w:tcPr>
            <w:tcW w:type="dxa" w:w="2088"/>
            <w:vAlign w:val="center"/>
          </w:tcPr>
          <w:p>
            <w:pPr>
              <w:spacing w:after="0"/>
            </w:pPr>
            <w:r>
              <w:rPr>
                <w:b/>
              </w:rPr>
            </w:r>
            <w:r>
              <w:rPr>
                <w:rFonts w:ascii="Aptos" w:hAnsi="Aptos"/>
                <w:b w:val="0"/>
                <w:color w:val="222222"/>
                <w:sz w:val="16"/>
              </w:rPr>
              <w:t>Nitrogen balance</w:t>
            </w:r>
          </w:p>
        </w:tc>
        <w:tc>
          <w:tcPr>
            <w:tcW w:type="dxa" w:w="2880"/>
            <w:vAlign w:val="center"/>
          </w:tcPr>
          <w:p>
            <w:pPr>
              <w:spacing w:after="0"/>
            </w:pPr>
            <w:r/>
            <w:r>
              <w:rPr>
                <w:rFonts w:ascii="Aptos" w:hAnsi="Aptos"/>
                <w:b w:val="0"/>
                <w:color w:val="222222"/>
                <w:sz w:val="16"/>
              </w:rPr>
              <w:t>Residual within tolerance</w:t>
            </w:r>
          </w:p>
        </w:tc>
        <w:tc>
          <w:tcPr>
            <w:tcW w:type="dxa" w:w="2592"/>
            <w:vAlign w:val="center"/>
          </w:tcPr>
          <w:p>
            <w:pPr>
              <w:spacing w:after="0"/>
            </w:pPr>
            <w:r/>
            <w:r>
              <w:rPr>
                <w:rFonts w:ascii="Aptos" w:hAnsi="Aptos"/>
                <w:b w:val="0"/>
                <w:color w:val="222222"/>
                <w:sz w:val="16"/>
              </w:rPr>
              <w:t>Small unexplained residual</w:t>
            </w:r>
          </w:p>
        </w:tc>
        <w:tc>
          <w:tcPr>
            <w:tcW w:type="dxa" w:w="2880"/>
            <w:vAlign w:val="center"/>
          </w:tcPr>
          <w:p>
            <w:pPr>
              <w:spacing w:after="0"/>
            </w:pPr>
            <w:r/>
            <w:r>
              <w:rPr>
                <w:rFonts w:ascii="Aptos" w:hAnsi="Aptos"/>
                <w:b w:val="0"/>
                <w:color w:val="222222"/>
                <w:sz w:val="16"/>
              </w:rPr>
              <w:t>Material imbalance</w:t>
            </w:r>
          </w:p>
        </w:tc>
      </w:tr>
      <w:tr>
        <w:tc>
          <w:tcPr>
            <w:tcW w:type="dxa" w:w="2088"/>
            <w:vAlign w:val="center"/>
          </w:tcPr>
          <w:p>
            <w:pPr>
              <w:spacing w:after="0"/>
            </w:pPr>
            <w:r>
              <w:rPr>
                <w:b/>
              </w:rPr>
            </w:r>
            <w:r>
              <w:rPr>
                <w:rFonts w:ascii="Aptos" w:hAnsi="Aptos"/>
                <w:b w:val="0"/>
                <w:color w:val="222222"/>
                <w:sz w:val="16"/>
              </w:rPr>
              <w:t>SOC test integrity</w:t>
            </w:r>
          </w:p>
        </w:tc>
        <w:tc>
          <w:tcPr>
            <w:tcW w:type="dxa" w:w="2880"/>
            <w:vAlign w:val="center"/>
          </w:tcPr>
          <w:p>
            <w:pPr>
              <w:spacing w:after="0"/>
            </w:pPr>
            <w:r/>
            <w:r>
              <w:rPr>
                <w:rFonts w:ascii="Aptos" w:hAnsi="Aptos"/>
                <w:b w:val="0"/>
                <w:color w:val="222222"/>
                <w:sz w:val="16"/>
              </w:rPr>
              <w:t>Pre + post tests, matched depth/area basis</w:t>
            </w:r>
          </w:p>
        </w:tc>
        <w:tc>
          <w:tcPr>
            <w:tcW w:type="dxa" w:w="2592"/>
            <w:vAlign w:val="center"/>
          </w:tcPr>
          <w:p>
            <w:pPr>
              <w:spacing w:after="0"/>
            </w:pPr>
            <w:r/>
            <w:r>
              <w:rPr>
                <w:rFonts w:ascii="Aptos" w:hAnsi="Aptos"/>
                <w:b w:val="0"/>
                <w:color w:val="222222"/>
                <w:sz w:val="16"/>
              </w:rPr>
              <w:t>One parameter estimated</w:t>
            </w:r>
          </w:p>
        </w:tc>
        <w:tc>
          <w:tcPr>
            <w:tcW w:type="dxa" w:w="2880"/>
            <w:vAlign w:val="center"/>
          </w:tcPr>
          <w:p>
            <w:pPr>
              <w:spacing w:after="0"/>
            </w:pPr>
            <w:r/>
            <w:r>
              <w:rPr>
                <w:rFonts w:ascii="Aptos" w:hAnsi="Aptos"/>
                <w:b w:val="0"/>
                <w:color w:val="222222"/>
                <w:sz w:val="16"/>
              </w:rPr>
              <w:t>Missing/invalid baseline or post test when SOC result is reported</w:t>
            </w:r>
          </w:p>
        </w:tc>
      </w:tr>
      <w:tr>
        <w:tc>
          <w:tcPr>
            <w:tcW w:type="dxa" w:w="2088"/>
            <w:vAlign w:val="center"/>
          </w:tcPr>
          <w:p>
            <w:pPr>
              <w:spacing w:after="0"/>
            </w:pPr>
            <w:r>
              <w:rPr>
                <w:b/>
              </w:rPr>
            </w:r>
            <w:r>
              <w:rPr>
                <w:rFonts w:ascii="Aptos" w:hAnsi="Aptos"/>
                <w:b w:val="0"/>
                <w:color w:val="222222"/>
                <w:sz w:val="16"/>
              </w:rPr>
              <w:t>Soil C:N</w:t>
            </w:r>
          </w:p>
        </w:tc>
        <w:tc>
          <w:tcPr>
            <w:tcW w:type="dxa" w:w="2880"/>
            <w:vAlign w:val="center"/>
          </w:tcPr>
          <w:p>
            <w:pPr>
              <w:spacing w:after="0"/>
            </w:pPr>
            <w:r/>
            <w:r>
              <w:rPr>
                <w:rFonts w:ascii="Aptos" w:hAnsi="Aptos"/>
                <w:b w:val="0"/>
                <w:color w:val="222222"/>
                <w:sz w:val="16"/>
              </w:rPr>
              <w:t>Traceable laboratory result</w:t>
            </w:r>
          </w:p>
        </w:tc>
        <w:tc>
          <w:tcPr>
            <w:tcW w:type="dxa" w:w="2592"/>
            <w:vAlign w:val="center"/>
          </w:tcPr>
          <w:p>
            <w:pPr>
              <w:spacing w:after="0"/>
            </w:pPr>
            <w:r/>
            <w:r>
              <w:rPr>
                <w:rFonts w:ascii="Aptos" w:hAnsi="Aptos"/>
                <w:b w:val="0"/>
                <w:color w:val="222222"/>
                <w:sz w:val="16"/>
              </w:rPr>
              <w:t>Older but applicable result</w:t>
            </w:r>
          </w:p>
        </w:tc>
        <w:tc>
          <w:tcPr>
            <w:tcW w:type="dxa" w:w="2880"/>
            <w:vAlign w:val="center"/>
          </w:tcPr>
          <w:p>
            <w:pPr>
              <w:spacing w:after="0"/>
            </w:pPr>
            <w:r/>
            <w:r>
              <w:rPr>
                <w:rFonts w:ascii="Aptos" w:hAnsi="Aptos"/>
                <w:b w:val="0"/>
                <w:color w:val="222222"/>
                <w:sz w:val="16"/>
              </w:rPr>
              <w:t>Unverified value used for adjustment</w:t>
            </w:r>
          </w:p>
        </w:tc>
      </w:tr>
      <w:tr>
        <w:tc>
          <w:tcPr>
            <w:tcW w:type="dxa" w:w="2088"/>
            <w:vAlign w:val="center"/>
          </w:tcPr>
          <w:p>
            <w:pPr>
              <w:spacing w:after="0"/>
            </w:pPr>
            <w:r>
              <w:rPr>
                <w:b/>
              </w:rPr>
            </w:r>
            <w:r>
              <w:rPr>
                <w:rFonts w:ascii="Aptos" w:hAnsi="Aptos"/>
                <w:b w:val="0"/>
                <w:color w:val="222222"/>
                <w:sz w:val="16"/>
              </w:rPr>
              <w:t>Energy EF</w:t>
            </w:r>
          </w:p>
        </w:tc>
        <w:tc>
          <w:tcPr>
            <w:tcW w:type="dxa" w:w="2880"/>
            <w:vAlign w:val="center"/>
          </w:tcPr>
          <w:p>
            <w:pPr>
              <w:spacing w:after="0"/>
            </w:pPr>
            <w:r/>
            <w:r>
              <w:rPr>
                <w:rFonts w:ascii="Aptos" w:hAnsi="Aptos"/>
                <w:b w:val="0"/>
                <w:color w:val="222222"/>
                <w:sz w:val="16"/>
              </w:rPr>
              <w:t>CEA version/year recorded</w:t>
            </w:r>
          </w:p>
        </w:tc>
        <w:tc>
          <w:tcPr>
            <w:tcW w:type="dxa" w:w="2592"/>
            <w:vAlign w:val="center"/>
          </w:tcPr>
          <w:p>
            <w:pPr>
              <w:spacing w:after="0"/>
            </w:pPr>
            <w:r/>
            <w:r>
              <w:rPr>
                <w:rFonts w:ascii="Aptos" w:hAnsi="Aptos"/>
                <w:b w:val="0"/>
                <w:color w:val="222222"/>
                <w:sz w:val="16"/>
              </w:rPr>
              <w:t>Reference pending</w:t>
            </w:r>
          </w:p>
        </w:tc>
        <w:tc>
          <w:tcPr>
            <w:tcW w:type="dxa" w:w="2880"/>
            <w:vAlign w:val="center"/>
          </w:tcPr>
          <w:p>
            <w:pPr>
              <w:spacing w:after="0"/>
            </w:pPr>
            <w:r/>
            <w:r>
              <w:rPr>
                <w:rFonts w:ascii="Aptos" w:hAnsi="Aptos"/>
                <w:b w:val="0"/>
                <w:color w:val="222222"/>
                <w:sz w:val="16"/>
              </w:rPr>
              <w:t>Uncontrolled EF</w:t>
            </w:r>
          </w:p>
        </w:tc>
      </w:tr>
      <w:tr>
        <w:tc>
          <w:tcPr>
            <w:tcW w:type="dxa" w:w="2088"/>
            <w:vAlign w:val="center"/>
          </w:tcPr>
          <w:p>
            <w:pPr>
              <w:spacing w:after="0"/>
            </w:pPr>
            <w:r>
              <w:rPr>
                <w:b/>
              </w:rPr>
            </w:r>
            <w:r>
              <w:rPr>
                <w:rFonts w:ascii="Aptos" w:hAnsi="Aptos"/>
                <w:b w:val="0"/>
                <w:color w:val="222222"/>
                <w:sz w:val="16"/>
              </w:rPr>
              <w:t>Actual energy</w:t>
            </w:r>
          </w:p>
        </w:tc>
        <w:tc>
          <w:tcPr>
            <w:tcW w:type="dxa" w:w="2880"/>
            <w:vAlign w:val="center"/>
          </w:tcPr>
          <w:p>
            <w:pPr>
              <w:spacing w:after="0"/>
            </w:pPr>
            <w:r/>
            <w:r>
              <w:rPr>
                <w:rFonts w:ascii="Aptos" w:hAnsi="Aptos"/>
                <w:b w:val="0"/>
                <w:color w:val="222222"/>
                <w:sz w:val="16"/>
              </w:rPr>
              <w:t>Bills/meter/fuel records reconciled</w:t>
            </w:r>
          </w:p>
        </w:tc>
        <w:tc>
          <w:tcPr>
            <w:tcW w:type="dxa" w:w="2592"/>
            <w:vAlign w:val="center"/>
          </w:tcPr>
          <w:p>
            <w:pPr>
              <w:spacing w:after="0"/>
            </w:pPr>
            <w:r/>
            <w:r>
              <w:rPr>
                <w:rFonts w:ascii="Aptos" w:hAnsi="Aptos"/>
                <w:b w:val="0"/>
                <w:color w:val="222222"/>
                <w:sz w:val="16"/>
              </w:rPr>
              <w:t>Partial records</w:t>
            </w:r>
          </w:p>
        </w:tc>
        <w:tc>
          <w:tcPr>
            <w:tcW w:type="dxa" w:w="2880"/>
            <w:vAlign w:val="center"/>
          </w:tcPr>
          <w:p>
            <w:pPr>
              <w:spacing w:after="0"/>
            </w:pPr>
            <w:r/>
            <w:r>
              <w:rPr>
                <w:rFonts w:ascii="Aptos" w:hAnsi="Aptos"/>
                <w:b w:val="0"/>
                <w:color w:val="222222"/>
                <w:sz w:val="16"/>
              </w:rPr>
              <w:t>Untraceable energy quantity</w:t>
            </w:r>
          </w:p>
        </w:tc>
      </w:tr>
      <w:tr>
        <w:tc>
          <w:tcPr>
            <w:tcW w:type="dxa" w:w="2088"/>
            <w:vAlign w:val="center"/>
          </w:tcPr>
          <w:p>
            <w:pPr>
              <w:spacing w:after="0"/>
            </w:pPr>
            <w:r>
              <w:rPr>
                <w:b/>
              </w:rPr>
            </w:r>
            <w:r>
              <w:rPr>
                <w:rFonts w:ascii="Aptos" w:hAnsi="Aptos"/>
                <w:b w:val="0"/>
                <w:color w:val="222222"/>
                <w:sz w:val="16"/>
              </w:rPr>
              <w:t>Scenario integrity</w:t>
            </w:r>
          </w:p>
        </w:tc>
        <w:tc>
          <w:tcPr>
            <w:tcW w:type="dxa" w:w="2880"/>
            <w:vAlign w:val="center"/>
          </w:tcPr>
          <w:p>
            <w:pPr>
              <w:spacing w:after="0"/>
            </w:pPr>
            <w:r/>
            <w:r>
              <w:rPr>
                <w:rFonts w:ascii="Aptos" w:hAnsi="Aptos"/>
                <w:b w:val="0"/>
                <w:color w:val="222222"/>
                <w:sz w:val="16"/>
              </w:rPr>
              <w:t>Improvement actions evidenced</w:t>
            </w:r>
          </w:p>
        </w:tc>
        <w:tc>
          <w:tcPr>
            <w:tcW w:type="dxa" w:w="2592"/>
            <w:vAlign w:val="center"/>
          </w:tcPr>
          <w:p>
            <w:pPr>
              <w:spacing w:after="0"/>
            </w:pPr>
            <w:r/>
            <w:r>
              <w:rPr>
                <w:rFonts w:ascii="Aptos" w:hAnsi="Aptos"/>
                <w:b w:val="0"/>
                <w:color w:val="222222"/>
                <w:sz w:val="16"/>
              </w:rPr>
              <w:t>Partial evidence</w:t>
            </w:r>
          </w:p>
        </w:tc>
        <w:tc>
          <w:tcPr>
            <w:tcW w:type="dxa" w:w="2880"/>
            <w:vAlign w:val="center"/>
          </w:tcPr>
          <w:p>
            <w:pPr>
              <w:spacing w:after="0"/>
            </w:pPr>
            <w:r/>
            <w:r>
              <w:rPr>
                <w:rFonts w:ascii="Aptos" w:hAnsi="Aptos"/>
                <w:b w:val="0"/>
                <w:color w:val="222222"/>
                <w:sz w:val="16"/>
              </w:rPr>
              <w:t>Claimed action not implemented</w:t>
            </w:r>
          </w:p>
        </w:tc>
      </w:tr>
    </w:tbl>
    <w:p>
      <w:pPr>
        <w:spacing w:after="20"/>
      </w:pPr>
    </w:p>
    <w:p>
      <w:pPr>
        <w:pStyle w:val="Heading3"/>
      </w:pPr>
      <w:r>
        <w:t>Automated integrity formulas</w:t>
      </w:r>
    </w:p>
    <w:p>
      <w:pPr>
        <w:pStyle w:val="Formula"/>
        <w:spacing w:before="60" w:after="60"/>
        <w:ind w:left="360" w:right="360"/>
      </w:pPr>
      <w:r>
        <w:rPr>
          <w:rFonts w:ascii="Consolas" w:hAnsi="Consolas"/>
          <w:sz w:val="18"/>
        </w:rPr>
        <w:t>MRV_status = FAIL if any critical control = FAIL; else REVIEW if any control = REVIEW; else PASS</w:t>
      </w:r>
    </w:p>
    <w:p>
      <w:pPr>
        <w:pStyle w:val="Formula"/>
        <w:spacing w:before="60" w:after="60"/>
        <w:ind w:left="360" w:right="360"/>
      </w:pPr>
      <w:r>
        <w:rPr>
          <w:rFonts w:ascii="Consolas" w:hAnsi="Consolas"/>
          <w:sz w:val="18"/>
        </w:rPr>
        <w:t>WQ_completeness = min(1, ObservedWeeklyRecords / ExpectedWeeklyRecords)</w:t>
      </w:r>
    </w:p>
    <w:p>
      <w:pPr>
        <w:pStyle w:val="Formula"/>
        <w:spacing w:before="60" w:after="60"/>
        <w:ind w:left="360" w:right="360"/>
      </w:pPr>
      <w:r>
        <w:rPr>
          <w:rFonts w:ascii="Consolas" w:hAnsi="Consolas"/>
          <w:sz w:val="18"/>
        </w:rPr>
        <w:t>ExpectedWeeklyRecords = ROUNDUP(CropDays / 7, 0)</w:t>
      </w:r>
    </w:p>
    <w:p>
      <w:pPr>
        <w:pStyle w:val="Formula"/>
        <w:spacing w:before="60" w:after="60"/>
        <w:ind w:left="360" w:right="360"/>
      </w:pPr>
      <w:r>
        <w:rPr>
          <w:rFonts w:ascii="Consolas" w:hAnsi="Consolas"/>
          <w:sz w:val="18"/>
        </w:rPr>
        <w:t>HarvestCheck = PASS if ActualHarvest ≤ TheoreticalMaximumBiomass × (1 + tolerance)</w:t>
      </w:r>
    </w:p>
    <w:p>
      <w:pPr>
        <w:pStyle w:val="Formula"/>
        <w:spacing w:before="60" w:after="60"/>
        <w:ind w:left="360" w:right="360"/>
      </w:pPr>
      <w:r>
        <w:rPr>
          <w:rFonts w:ascii="Consolas" w:hAnsi="Consolas"/>
          <w:sz w:val="18"/>
        </w:rPr>
        <w:t>FeedMixCheck = PASS if |ΣMixPercent − 1| ≤ tolerance</w:t>
      </w:r>
    </w:p>
    <w:p>
      <w:pPr>
        <w:pStyle w:val="Formula"/>
        <w:spacing w:before="60" w:after="60"/>
        <w:ind w:left="360" w:right="360"/>
      </w:pPr>
      <w:r>
        <w:rPr>
          <w:rFonts w:ascii="Consolas" w:hAnsi="Consolas"/>
          <w:sz w:val="18"/>
        </w:rPr>
        <w:t>SOCCheck = PASS if exactly one valid Pre-Stocking and one valid Post-Harvest observation exist for the reported SOC result</w:t>
      </w:r>
    </w:p>
    <w:p>
      <w:pPr>
        <w:pStyle w:val="Heading2"/>
      </w:pPr>
      <w:r>
        <w:t>3.3 Exclusions &amp; Caveats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7365D"/>
          </w:tcPr>
          <w:p>
            <w:pPr>
              <w:spacing w:after="0"/>
            </w:pPr>
            <w:r/>
            <w:r>
              <w:rPr>
                <w:rFonts w:ascii="Aptos" w:hAnsi="Aptos"/>
                <w:b/>
                <w:color w:val="FFFFFF"/>
                <w:sz w:val="17"/>
              </w:rPr>
              <w:t>Item</w:t>
            </w:r>
          </w:p>
        </w:tc>
        <w:tc>
          <w:tcPr>
            <w:tcW w:type="dxa" w:w="3672"/>
            <w:vAlign w:val="center"/>
            <w:shd w:fill="17365D"/>
          </w:tcPr>
          <w:p>
            <w:pPr>
              <w:spacing w:after="0"/>
            </w:pPr>
            <w:r/>
            <w:r>
              <w:rPr>
                <w:rFonts w:ascii="Aptos" w:hAnsi="Aptos"/>
                <w:b/>
                <w:color w:val="FFFFFF"/>
                <w:sz w:val="17"/>
              </w:rPr>
              <w:t>v3.4 treatment</w:t>
            </w:r>
          </w:p>
        </w:tc>
        <w:tc>
          <w:tcPr>
            <w:tcW w:type="dxa" w:w="4392"/>
            <w:vAlign w:val="center"/>
            <w:shd w:fill="17365D"/>
          </w:tcPr>
          <w:p>
            <w:pPr>
              <w:spacing w:after="0"/>
            </w:pPr>
            <w:r/>
            <w:r>
              <w:rPr>
                <w:rFonts w:ascii="Aptos" w:hAnsi="Aptos"/>
                <w:b/>
                <w:color w:val="FFFFFF"/>
                <w:sz w:val="17"/>
              </w:rPr>
              <w:t>Reason</w:t>
            </w:r>
          </w:p>
        </w:tc>
      </w:tr>
      <w:tr>
        <w:tc>
          <w:tcPr>
            <w:tcW w:type="dxa" w:w="2232"/>
            <w:vAlign w:val="center"/>
          </w:tcPr>
          <w:p>
            <w:pPr>
              <w:spacing w:after="0"/>
            </w:pPr>
            <w:r>
              <w:rPr>
                <w:b/>
              </w:rPr>
            </w:r>
            <w:r>
              <w:rPr>
                <w:rFonts w:ascii="Aptos" w:hAnsi="Aptos"/>
                <w:b w:val="0"/>
                <w:color w:val="222222"/>
                <w:sz w:val="16"/>
              </w:rPr>
              <w:t>Sediment carbon sequestration</w:t>
            </w:r>
          </w:p>
        </w:tc>
        <w:tc>
          <w:tcPr>
            <w:tcW w:type="dxa" w:w="3672"/>
            <w:vAlign w:val="center"/>
          </w:tcPr>
          <w:p>
            <w:pPr>
              <w:spacing w:after="0"/>
            </w:pPr>
            <w:r/>
            <w:r>
              <w:rPr>
                <w:rFonts w:ascii="Aptos" w:hAnsi="Aptos"/>
                <w:b w:val="0"/>
                <w:color w:val="222222"/>
                <w:sz w:val="16"/>
              </w:rPr>
              <w:t>Informational; not netted into final credit claim</w:t>
            </w:r>
          </w:p>
        </w:tc>
        <w:tc>
          <w:tcPr>
            <w:tcW w:type="dxa" w:w="4392"/>
            <w:vAlign w:val="center"/>
          </w:tcPr>
          <w:p>
            <w:pPr>
              <w:spacing w:after="0"/>
            </w:pPr>
            <w:r/>
            <w:r>
              <w:rPr>
                <w:rFonts w:ascii="Aptos" w:hAnsi="Aptos"/>
                <w:b w:val="0"/>
                <w:color w:val="222222"/>
                <w:sz w:val="16"/>
              </w:rPr>
              <w:t>Permanence, reversibility, sampling uncertainty and project-boundary requirements require separate treatment</w:t>
            </w:r>
          </w:p>
        </w:tc>
      </w:tr>
      <w:tr>
        <w:tc>
          <w:tcPr>
            <w:tcW w:type="dxa" w:w="2232"/>
            <w:vAlign w:val="center"/>
          </w:tcPr>
          <w:p>
            <w:pPr>
              <w:spacing w:after="0"/>
            </w:pPr>
            <w:r>
              <w:rPr>
                <w:b/>
              </w:rPr>
            </w:r>
            <w:r>
              <w:rPr>
                <w:rFonts w:ascii="Aptos" w:hAnsi="Aptos"/>
                <w:b w:val="0"/>
                <w:color w:val="222222"/>
                <w:sz w:val="16"/>
              </w:rPr>
              <w:t>Better Aeration</w:t>
            </w:r>
          </w:p>
        </w:tc>
        <w:tc>
          <w:tcPr>
            <w:tcW w:type="dxa" w:w="3672"/>
            <w:vAlign w:val="center"/>
          </w:tcPr>
          <w:p>
            <w:pPr>
              <w:spacing w:after="0"/>
            </w:pPr>
            <w:r/>
            <w:r>
              <w:rPr>
                <w:rFonts w:ascii="Aptos" w:hAnsi="Aptos"/>
                <w:b w:val="0"/>
                <w:color w:val="222222"/>
                <w:sz w:val="16"/>
              </w:rPr>
              <w:t>Disabled for IMC</w:t>
            </w:r>
          </w:p>
        </w:tc>
        <w:tc>
          <w:tcPr>
            <w:tcW w:type="dxa" w:w="4392"/>
            <w:vAlign w:val="center"/>
          </w:tcPr>
          <w:p>
            <w:pPr>
              <w:spacing w:after="0"/>
            </w:pPr>
            <w:r/>
            <w:r>
              <w:rPr>
                <w:rFonts w:ascii="Aptos" w:hAnsi="Aptos"/>
                <w:b w:val="0"/>
                <w:color w:val="222222"/>
                <w:sz w:val="16"/>
              </w:rPr>
              <w:t>Mechanical aeration is outside the defined semi-intensive IMC configuration</w:t>
            </w:r>
          </w:p>
        </w:tc>
      </w:tr>
      <w:tr>
        <w:tc>
          <w:tcPr>
            <w:tcW w:type="dxa" w:w="2232"/>
            <w:vAlign w:val="center"/>
          </w:tcPr>
          <w:p>
            <w:pPr>
              <w:spacing w:after="0"/>
            </w:pPr>
            <w:r>
              <w:rPr>
                <w:b/>
              </w:rPr>
            </w:r>
            <w:r>
              <w:rPr>
                <w:rFonts w:ascii="Aptos" w:hAnsi="Aptos"/>
                <w:b w:val="0"/>
                <w:color w:val="222222"/>
                <w:sz w:val="16"/>
              </w:rPr>
              <w:t>Natural feed offset</w:t>
            </w:r>
          </w:p>
        </w:tc>
        <w:tc>
          <w:tcPr>
            <w:tcW w:type="dxa" w:w="3672"/>
            <w:vAlign w:val="center"/>
          </w:tcPr>
          <w:p>
            <w:pPr>
              <w:spacing w:after="0"/>
            </w:pPr>
            <w:r/>
            <w:r>
              <w:rPr>
                <w:rFonts w:ascii="Aptos" w:hAnsi="Aptos"/>
                <w:b w:val="0"/>
                <w:color w:val="222222"/>
                <w:sz w:val="16"/>
              </w:rPr>
              <w:t>Bounded model adjustment</w:t>
            </w:r>
          </w:p>
        </w:tc>
        <w:tc>
          <w:tcPr>
            <w:tcW w:type="dxa" w:w="4392"/>
            <w:vAlign w:val="center"/>
          </w:tcPr>
          <w:p>
            <w:pPr>
              <w:spacing w:after="0"/>
            </w:pPr>
            <w:r/>
            <w:r>
              <w:rPr>
                <w:rFonts w:ascii="Aptos" w:hAnsi="Aptos"/>
                <w:b w:val="0"/>
                <w:color w:val="222222"/>
                <w:sz w:val="16"/>
              </w:rPr>
              <w:t>Plankton observations support potential natural-food contribution but do not directly measure avoided artificial feed</w:t>
            </w:r>
          </w:p>
        </w:tc>
      </w:tr>
      <w:tr>
        <w:tc>
          <w:tcPr>
            <w:tcW w:type="dxa" w:w="2232"/>
            <w:vAlign w:val="center"/>
          </w:tcPr>
          <w:p>
            <w:pPr>
              <w:spacing w:after="0"/>
            </w:pPr>
            <w:r>
              <w:rPr>
                <w:b/>
              </w:rPr>
            </w:r>
            <w:r>
              <w:rPr>
                <w:rFonts w:ascii="Aptos" w:hAnsi="Aptos"/>
                <w:b w:val="0"/>
                <w:color w:val="222222"/>
                <w:sz w:val="16"/>
              </w:rPr>
              <w:t>SPF</w:t>
            </w:r>
          </w:p>
        </w:tc>
        <w:tc>
          <w:tcPr>
            <w:tcW w:type="dxa" w:w="3672"/>
            <w:vAlign w:val="center"/>
          </w:tcPr>
          <w:p>
            <w:pPr>
              <w:spacing w:after="0"/>
            </w:pPr>
            <w:r/>
            <w:r>
              <w:rPr>
                <w:rFonts w:ascii="Aptos" w:hAnsi="Aptos"/>
                <w:b w:val="0"/>
                <w:color w:val="222222"/>
                <w:sz w:val="16"/>
              </w:rPr>
              <w:t>Seasonal proxy</w:t>
            </w:r>
          </w:p>
        </w:tc>
        <w:tc>
          <w:tcPr>
            <w:tcW w:type="dxa" w:w="4392"/>
            <w:vAlign w:val="center"/>
          </w:tcPr>
          <w:p>
            <w:pPr>
              <w:spacing w:after="0"/>
            </w:pPr>
            <w:r/>
            <w:r>
              <w:rPr>
                <w:rFonts w:ascii="Aptos" w:hAnsi="Aptos"/>
                <w:b w:val="0"/>
                <w:color w:val="222222"/>
                <w:sz w:val="16"/>
              </w:rPr>
              <w:t>Solar/daylight forcing is not a direct measurement of pond primary production</w:t>
            </w:r>
          </w:p>
        </w:tc>
      </w:tr>
      <w:tr>
        <w:tc>
          <w:tcPr>
            <w:tcW w:type="dxa" w:w="2232"/>
            <w:vAlign w:val="center"/>
          </w:tcPr>
          <w:p>
            <w:pPr>
              <w:spacing w:after="0"/>
            </w:pPr>
            <w:r>
              <w:rPr>
                <w:b/>
              </w:rPr>
            </w:r>
            <w:r>
              <w:rPr>
                <w:rFonts w:ascii="Aptos" w:hAnsi="Aptos"/>
                <w:b w:val="0"/>
                <w:color w:val="222222"/>
                <w:sz w:val="16"/>
              </w:rPr>
              <w:t>Cyanobacteria +20% N₂O factor</w:t>
            </w:r>
          </w:p>
        </w:tc>
        <w:tc>
          <w:tcPr>
            <w:tcW w:type="dxa" w:w="3672"/>
            <w:vAlign w:val="center"/>
          </w:tcPr>
          <w:p>
            <w:pPr>
              <w:spacing w:after="0"/>
            </w:pPr>
            <w:r/>
            <w:r>
              <w:rPr>
                <w:rFonts w:ascii="Aptos" w:hAnsi="Aptos"/>
                <w:b w:val="0"/>
                <w:color w:val="222222"/>
                <w:sz w:val="16"/>
              </w:rPr>
              <w:t>Controlled model coefficient</w:t>
            </w:r>
          </w:p>
        </w:tc>
        <w:tc>
          <w:tcPr>
            <w:tcW w:type="dxa" w:w="4392"/>
            <w:vAlign w:val="center"/>
          </w:tcPr>
          <w:p>
            <w:pPr>
              <w:spacing w:after="0"/>
            </w:pPr>
            <w:r/>
            <w:r>
              <w:rPr>
                <w:rFonts w:ascii="Aptos" w:hAnsi="Aptos"/>
                <w:b w:val="0"/>
                <w:color w:val="222222"/>
                <w:sz w:val="16"/>
              </w:rPr>
              <w:t>Must be treated as a documented adjustment assumption, not a universal emission factor</w:t>
            </w:r>
          </w:p>
        </w:tc>
      </w:tr>
      <w:tr>
        <w:tc>
          <w:tcPr>
            <w:tcW w:type="dxa" w:w="2232"/>
            <w:vAlign w:val="center"/>
          </w:tcPr>
          <w:p>
            <w:pPr>
              <w:spacing w:after="0"/>
            </w:pPr>
            <w:r>
              <w:rPr>
                <w:b/>
              </w:rPr>
            </w:r>
            <w:r>
              <w:rPr>
                <w:rFonts w:ascii="Aptos" w:hAnsi="Aptos"/>
                <w:b w:val="0"/>
                <w:color w:val="222222"/>
                <w:sz w:val="16"/>
              </w:rPr>
              <w:t>DO stress +10% FCR</w:t>
            </w:r>
          </w:p>
        </w:tc>
        <w:tc>
          <w:tcPr>
            <w:tcW w:type="dxa" w:w="3672"/>
            <w:vAlign w:val="center"/>
          </w:tcPr>
          <w:p>
            <w:pPr>
              <w:spacing w:after="0"/>
            </w:pPr>
            <w:r/>
            <w:r>
              <w:rPr>
                <w:rFonts w:ascii="Aptos" w:hAnsi="Aptos"/>
                <w:b w:val="0"/>
                <w:color w:val="222222"/>
                <w:sz w:val="16"/>
              </w:rPr>
              <w:t>Controlled model coefficient</w:t>
            </w:r>
          </w:p>
        </w:tc>
        <w:tc>
          <w:tcPr>
            <w:tcW w:type="dxa" w:w="4392"/>
            <w:vAlign w:val="center"/>
          </w:tcPr>
          <w:p>
            <w:pPr>
              <w:spacing w:after="0"/>
            </w:pPr>
            <w:r/>
            <w:r>
              <w:rPr>
                <w:rFonts w:ascii="Aptos" w:hAnsi="Aptos"/>
                <w:b w:val="0"/>
                <w:color w:val="222222"/>
                <w:sz w:val="16"/>
              </w:rPr>
              <w:t>Represents a bounded stress adjustment; requires consistent field DO data</w:t>
            </w:r>
          </w:p>
        </w:tc>
      </w:tr>
      <w:tr>
        <w:tc>
          <w:tcPr>
            <w:tcW w:type="dxa" w:w="2232"/>
            <w:vAlign w:val="center"/>
          </w:tcPr>
          <w:p>
            <w:pPr>
              <w:spacing w:after="0"/>
            </w:pPr>
            <w:r>
              <w:rPr>
                <w:b/>
              </w:rPr>
            </w:r>
            <w:r>
              <w:rPr>
                <w:rFonts w:ascii="Aptos" w:hAnsi="Aptos"/>
                <w:b w:val="0"/>
                <w:color w:val="222222"/>
                <w:sz w:val="16"/>
              </w:rPr>
              <w:t>C:N methanogenesis adjustment</w:t>
            </w:r>
          </w:p>
        </w:tc>
        <w:tc>
          <w:tcPr>
            <w:tcW w:type="dxa" w:w="3672"/>
            <w:vAlign w:val="center"/>
          </w:tcPr>
          <w:p>
            <w:pPr>
              <w:spacing w:after="0"/>
            </w:pPr>
            <w:r/>
            <w:r>
              <w:rPr>
                <w:rFonts w:ascii="Aptos" w:hAnsi="Aptos"/>
                <w:b w:val="0"/>
                <w:color w:val="222222"/>
                <w:sz w:val="16"/>
              </w:rPr>
              <w:t>Risk modifier</w:t>
            </w:r>
          </w:p>
        </w:tc>
        <w:tc>
          <w:tcPr>
            <w:tcW w:type="dxa" w:w="4392"/>
            <w:vAlign w:val="center"/>
          </w:tcPr>
          <w:p>
            <w:pPr>
              <w:spacing w:after="0"/>
            </w:pPr>
            <w:r/>
            <w:r>
              <w:rPr>
                <w:rFonts w:ascii="Aptos" w:hAnsi="Aptos"/>
                <w:b w:val="0"/>
                <w:color w:val="222222"/>
                <w:sz w:val="16"/>
              </w:rPr>
              <w:t>High C:N indicates elevated risk but does not directly measure CH₄ production</w:t>
            </w:r>
          </w:p>
        </w:tc>
      </w:tr>
      <w:tr>
        <w:tc>
          <w:tcPr>
            <w:tcW w:type="dxa" w:w="2232"/>
            <w:vAlign w:val="center"/>
          </w:tcPr>
          <w:p>
            <w:pPr>
              <w:spacing w:after="0"/>
            </w:pPr>
            <w:r>
              <w:rPr>
                <w:b/>
              </w:rPr>
            </w:r>
            <w:r>
              <w:rPr>
                <w:rFonts w:ascii="Aptos" w:hAnsi="Aptos"/>
                <w:b w:val="0"/>
                <w:color w:val="222222"/>
                <w:sz w:val="16"/>
              </w:rPr>
              <w:t>Carbon-credit claim</w:t>
            </w:r>
          </w:p>
        </w:tc>
        <w:tc>
          <w:tcPr>
            <w:tcW w:type="dxa" w:w="3672"/>
            <w:vAlign w:val="center"/>
          </w:tcPr>
          <w:p>
            <w:pPr>
              <w:spacing w:after="0"/>
            </w:pPr>
            <w:r/>
            <w:r>
              <w:rPr>
                <w:rFonts w:ascii="Aptos" w:hAnsi="Aptos"/>
                <w:b w:val="0"/>
                <w:color w:val="222222"/>
                <w:sz w:val="16"/>
              </w:rPr>
              <w:t>Requires external methodology and verification</w:t>
            </w:r>
          </w:p>
        </w:tc>
        <w:tc>
          <w:tcPr>
            <w:tcW w:type="dxa" w:w="4392"/>
            <w:vAlign w:val="center"/>
          </w:tcPr>
          <w:p>
            <w:pPr>
              <w:spacing w:after="0"/>
            </w:pPr>
            <w:r/>
            <w:r>
              <w:rPr>
                <w:rFonts w:ascii="Aptos" w:hAnsi="Aptos"/>
                <w:b w:val="0"/>
                <w:color w:val="222222"/>
                <w:sz w:val="16"/>
              </w:rPr>
              <w:t>Spreadsheet calculations alone do not establish additionality, baseline eligibility, permanence or verification</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2F0D9"/>
          </w:tcPr>
          <w:p>
            <w:pPr>
              <w:spacing w:after="40"/>
            </w:pPr>
            <w:r>
              <w:rPr>
                <w:b/>
                <w:color w:val="548235"/>
              </w:rPr>
              <w:t xml:space="preserve">Auditor-facing rule:  </w:t>
            </w:r>
            <w:r>
              <w:rPr>
                <w:sz w:val="18"/>
              </w:rPr>
              <w:t>Every material calculated parameter should be traceable to either MEASURED data, DERIVED data from measured inputs, or a controlled DEFAULT. The provenance class must be retained with the result.</w:t>
            </w:r>
          </w:p>
        </w:tc>
      </w:tr>
    </w:tbl>
    <w:p>
      <w:pPr>
        <w:spacing w:after="20"/>
      </w:pPr>
    </w:p>
    <w:p>
      <w:pPr>
        <w:pStyle w:val="Heading1"/>
      </w:pPr>
      <w:r>
        <w:t>Data Provenance and Evidence Classification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vAlign w:val="center"/>
            <w:shd w:fill="17365D"/>
          </w:tcPr>
          <w:p>
            <w:pPr>
              <w:spacing w:after="0"/>
            </w:pPr>
            <w:r/>
            <w:r>
              <w:rPr>
                <w:rFonts w:ascii="Aptos" w:hAnsi="Aptos"/>
                <w:b/>
                <w:color w:val="FFFFFF"/>
                <w:sz w:val="17"/>
              </w:rPr>
              <w:t>Status</w:t>
            </w:r>
          </w:p>
        </w:tc>
        <w:tc>
          <w:tcPr>
            <w:tcW w:type="dxa" w:w="3528"/>
            <w:vAlign w:val="center"/>
            <w:shd w:fill="17365D"/>
          </w:tcPr>
          <w:p>
            <w:pPr>
              <w:spacing w:after="0"/>
            </w:pPr>
            <w:r/>
            <w:r>
              <w:rPr>
                <w:rFonts w:ascii="Aptos" w:hAnsi="Aptos"/>
                <w:b/>
                <w:color w:val="FFFFFF"/>
                <w:sz w:val="17"/>
              </w:rPr>
              <w:t>Definition</w:t>
            </w:r>
          </w:p>
        </w:tc>
        <w:tc>
          <w:tcPr>
            <w:tcW w:type="dxa" w:w="3168"/>
            <w:vAlign w:val="center"/>
            <w:shd w:fill="17365D"/>
          </w:tcPr>
          <w:p>
            <w:pPr>
              <w:spacing w:after="0"/>
            </w:pPr>
            <w:r/>
            <w:r>
              <w:rPr>
                <w:rFonts w:ascii="Aptos" w:hAnsi="Aptos"/>
                <w:b/>
                <w:color w:val="FFFFFF"/>
                <w:sz w:val="17"/>
              </w:rPr>
              <w:t>Examples</w:t>
            </w:r>
          </w:p>
        </w:tc>
        <w:tc>
          <w:tcPr>
            <w:tcW w:type="dxa" w:w="1800"/>
            <w:vAlign w:val="center"/>
            <w:shd w:fill="17365D"/>
          </w:tcPr>
          <w:p>
            <w:pPr>
              <w:spacing w:after="0"/>
            </w:pPr>
            <w:r/>
            <w:r>
              <w:rPr>
                <w:rFonts w:ascii="Aptos" w:hAnsi="Aptos"/>
                <w:b/>
                <w:color w:val="FFFFFF"/>
                <w:sz w:val="17"/>
              </w:rPr>
              <w:t>Use in final MRV</w:t>
            </w:r>
          </w:p>
        </w:tc>
      </w:tr>
      <w:tr>
        <w:tc>
          <w:tcPr>
            <w:tcW w:type="dxa" w:w="1656"/>
            <w:vAlign w:val="center"/>
          </w:tcPr>
          <w:p>
            <w:pPr>
              <w:spacing w:after="0"/>
            </w:pPr>
            <w:r>
              <w:rPr>
                <w:b/>
              </w:rPr>
            </w:r>
            <w:r>
              <w:rPr>
                <w:rFonts w:ascii="Aptos" w:hAnsi="Aptos"/>
                <w:b w:val="0"/>
                <w:color w:val="222222"/>
                <w:sz w:val="16"/>
              </w:rPr>
              <w:t>MEASURED</w:t>
            </w:r>
          </w:p>
        </w:tc>
        <w:tc>
          <w:tcPr>
            <w:tcW w:type="dxa" w:w="3528"/>
            <w:vAlign w:val="center"/>
          </w:tcPr>
          <w:p>
            <w:pPr>
              <w:spacing w:after="0"/>
            </w:pPr>
            <w:r/>
            <w:r>
              <w:rPr>
                <w:rFonts w:ascii="Aptos" w:hAnsi="Aptos"/>
                <w:b w:val="0"/>
                <w:color w:val="222222"/>
                <w:sz w:val="16"/>
              </w:rPr>
              <w:t>Directly observed or laboratory/instrument result</w:t>
            </w:r>
          </w:p>
        </w:tc>
        <w:tc>
          <w:tcPr>
            <w:tcW w:type="dxa" w:w="3168"/>
            <w:vAlign w:val="center"/>
          </w:tcPr>
          <w:p>
            <w:pPr>
              <w:spacing w:after="0"/>
            </w:pPr>
            <w:r/>
            <w:r>
              <w:rPr>
                <w:rFonts w:ascii="Aptos" w:hAnsi="Aptos"/>
                <w:b w:val="0"/>
                <w:color w:val="222222"/>
                <w:sz w:val="16"/>
              </w:rPr>
              <w:t>Pre-dawn DO, SOC%, kWh meter, harvest weight</w:t>
            </w:r>
          </w:p>
        </w:tc>
        <w:tc>
          <w:tcPr>
            <w:tcW w:type="dxa" w:w="1800"/>
            <w:vAlign w:val="center"/>
          </w:tcPr>
          <w:p>
            <w:pPr>
              <w:spacing w:after="0"/>
            </w:pPr>
            <w:r/>
            <w:r>
              <w:rPr>
                <w:rFonts w:ascii="Aptos" w:hAnsi="Aptos"/>
                <w:b w:val="0"/>
                <w:color w:val="222222"/>
                <w:sz w:val="16"/>
              </w:rPr>
              <w:t>Preferred</w:t>
            </w:r>
          </w:p>
        </w:tc>
      </w:tr>
      <w:tr>
        <w:tc>
          <w:tcPr>
            <w:tcW w:type="dxa" w:w="1656"/>
            <w:vAlign w:val="center"/>
          </w:tcPr>
          <w:p>
            <w:pPr>
              <w:spacing w:after="0"/>
            </w:pPr>
            <w:r>
              <w:rPr>
                <w:b/>
              </w:rPr>
            </w:r>
            <w:r>
              <w:rPr>
                <w:rFonts w:ascii="Aptos" w:hAnsi="Aptos"/>
                <w:b w:val="0"/>
                <w:color w:val="222222"/>
                <w:sz w:val="16"/>
              </w:rPr>
              <w:t>INVOICED</w:t>
            </w:r>
          </w:p>
        </w:tc>
        <w:tc>
          <w:tcPr>
            <w:tcW w:type="dxa" w:w="3528"/>
            <w:vAlign w:val="center"/>
          </w:tcPr>
          <w:p>
            <w:pPr>
              <w:spacing w:after="0"/>
            </w:pPr>
            <w:r/>
            <w:r>
              <w:rPr>
                <w:rFonts w:ascii="Aptos" w:hAnsi="Aptos"/>
                <w:b w:val="0"/>
                <w:color w:val="222222"/>
                <w:sz w:val="16"/>
              </w:rPr>
              <w:t>Supported by commercial record</w:t>
            </w:r>
          </w:p>
        </w:tc>
        <w:tc>
          <w:tcPr>
            <w:tcW w:type="dxa" w:w="3168"/>
            <w:vAlign w:val="center"/>
          </w:tcPr>
          <w:p>
            <w:pPr>
              <w:spacing w:after="0"/>
            </w:pPr>
            <w:r/>
            <w:r>
              <w:rPr>
                <w:rFonts w:ascii="Aptos" w:hAnsi="Aptos"/>
                <w:b w:val="0"/>
                <w:color w:val="222222"/>
                <w:sz w:val="16"/>
              </w:rPr>
              <w:t>Feed ingredient kg, diesel litres</w:t>
            </w:r>
          </w:p>
        </w:tc>
        <w:tc>
          <w:tcPr>
            <w:tcW w:type="dxa" w:w="1800"/>
            <w:vAlign w:val="center"/>
          </w:tcPr>
          <w:p>
            <w:pPr>
              <w:spacing w:after="0"/>
            </w:pPr>
            <w:r/>
            <w:r>
              <w:rPr>
                <w:rFonts w:ascii="Aptos" w:hAnsi="Aptos"/>
                <w:b w:val="0"/>
                <w:color w:val="222222"/>
                <w:sz w:val="16"/>
              </w:rPr>
              <w:t>Preferred where applicable</w:t>
            </w:r>
          </w:p>
        </w:tc>
      </w:tr>
      <w:tr>
        <w:tc>
          <w:tcPr>
            <w:tcW w:type="dxa" w:w="1656"/>
            <w:vAlign w:val="center"/>
          </w:tcPr>
          <w:p>
            <w:pPr>
              <w:spacing w:after="0"/>
            </w:pPr>
            <w:r>
              <w:rPr>
                <w:b/>
              </w:rPr>
            </w:r>
            <w:r>
              <w:rPr>
                <w:rFonts w:ascii="Aptos" w:hAnsi="Aptos"/>
                <w:b w:val="0"/>
                <w:color w:val="222222"/>
                <w:sz w:val="16"/>
              </w:rPr>
              <w:t>DERIVED</w:t>
            </w:r>
          </w:p>
        </w:tc>
        <w:tc>
          <w:tcPr>
            <w:tcW w:type="dxa" w:w="3528"/>
            <w:vAlign w:val="center"/>
          </w:tcPr>
          <w:p>
            <w:pPr>
              <w:spacing w:after="0"/>
            </w:pPr>
            <w:r/>
            <w:r>
              <w:rPr>
                <w:rFonts w:ascii="Aptos" w:hAnsi="Aptos"/>
                <w:b w:val="0"/>
                <w:color w:val="222222"/>
                <w:sz w:val="16"/>
              </w:rPr>
              <w:t>Calculated only from measured/invoiced inputs</w:t>
            </w:r>
          </w:p>
        </w:tc>
        <w:tc>
          <w:tcPr>
            <w:tcW w:type="dxa" w:w="3168"/>
            <w:vAlign w:val="center"/>
          </w:tcPr>
          <w:p>
            <w:pPr>
              <w:spacing w:after="0"/>
            </w:pPr>
            <w:r/>
            <w:r>
              <w:rPr>
                <w:rFonts w:ascii="Aptos" w:hAnsi="Aptos"/>
                <w:b w:val="0"/>
                <w:color w:val="222222"/>
                <w:sz w:val="16"/>
              </w:rPr>
              <w:t>Blended feed EF, PQI, anaerobic fraction</w:t>
            </w:r>
          </w:p>
        </w:tc>
        <w:tc>
          <w:tcPr>
            <w:tcW w:type="dxa" w:w="1800"/>
            <w:vAlign w:val="center"/>
          </w:tcPr>
          <w:p>
            <w:pPr>
              <w:spacing w:after="0"/>
            </w:pPr>
            <w:r/>
            <w:r>
              <w:rPr>
                <w:rFonts w:ascii="Aptos" w:hAnsi="Aptos"/>
                <w:b w:val="0"/>
                <w:color w:val="222222"/>
                <w:sz w:val="16"/>
              </w:rPr>
              <w:t>Allowed with formula traceability</w:t>
            </w:r>
          </w:p>
        </w:tc>
      </w:tr>
      <w:tr>
        <w:tc>
          <w:tcPr>
            <w:tcW w:type="dxa" w:w="1656"/>
            <w:vAlign w:val="center"/>
          </w:tcPr>
          <w:p>
            <w:pPr>
              <w:spacing w:after="0"/>
            </w:pPr>
            <w:r>
              <w:rPr>
                <w:b/>
              </w:rPr>
            </w:r>
            <w:r>
              <w:rPr>
                <w:rFonts w:ascii="Aptos" w:hAnsi="Aptos"/>
                <w:b w:val="0"/>
                <w:color w:val="222222"/>
                <w:sz w:val="16"/>
              </w:rPr>
              <w:t>DEFAULT</w:t>
            </w:r>
          </w:p>
        </w:tc>
        <w:tc>
          <w:tcPr>
            <w:tcW w:type="dxa" w:w="3528"/>
            <w:vAlign w:val="center"/>
          </w:tcPr>
          <w:p>
            <w:pPr>
              <w:spacing w:after="0"/>
            </w:pPr>
            <w:r/>
            <w:r>
              <w:rPr>
                <w:rFonts w:ascii="Aptos" w:hAnsi="Aptos"/>
                <w:b w:val="0"/>
                <w:color w:val="222222"/>
                <w:sz w:val="16"/>
              </w:rPr>
              <w:t>Controlled literature/model assumption</w:t>
            </w:r>
          </w:p>
        </w:tc>
        <w:tc>
          <w:tcPr>
            <w:tcW w:type="dxa" w:w="3168"/>
            <w:vAlign w:val="center"/>
          </w:tcPr>
          <w:p>
            <w:pPr>
              <w:spacing w:after="0"/>
            </w:pPr>
            <w:r/>
            <w:r>
              <w:rPr>
                <w:rFonts w:ascii="Aptos" w:hAnsi="Aptos"/>
                <w:b w:val="0"/>
                <w:color w:val="222222"/>
                <w:sz w:val="16"/>
              </w:rPr>
              <w:t>Fallback EF, bounded coefficients</w:t>
            </w:r>
          </w:p>
        </w:tc>
        <w:tc>
          <w:tcPr>
            <w:tcW w:type="dxa" w:w="1800"/>
            <w:vAlign w:val="center"/>
          </w:tcPr>
          <w:p>
            <w:pPr>
              <w:spacing w:after="0"/>
            </w:pPr>
            <w:r/>
            <w:r>
              <w:rPr>
                <w:rFonts w:ascii="Aptos" w:hAnsi="Aptos"/>
                <w:b w:val="0"/>
                <w:color w:val="222222"/>
                <w:sz w:val="16"/>
              </w:rPr>
              <w:t>Must be disclosed</w:t>
            </w:r>
          </w:p>
        </w:tc>
      </w:tr>
      <w:tr>
        <w:tc>
          <w:tcPr>
            <w:tcW w:type="dxa" w:w="1656"/>
            <w:vAlign w:val="center"/>
          </w:tcPr>
          <w:p>
            <w:pPr>
              <w:spacing w:after="0"/>
            </w:pPr>
            <w:r>
              <w:rPr>
                <w:b/>
              </w:rPr>
            </w:r>
            <w:r>
              <w:rPr>
                <w:rFonts w:ascii="Aptos" w:hAnsi="Aptos"/>
                <w:b w:val="0"/>
                <w:color w:val="222222"/>
                <w:sz w:val="16"/>
              </w:rPr>
              <w:t>ESTIMATED</w:t>
            </w:r>
          </w:p>
        </w:tc>
        <w:tc>
          <w:tcPr>
            <w:tcW w:type="dxa" w:w="3528"/>
            <w:vAlign w:val="center"/>
          </w:tcPr>
          <w:p>
            <w:pPr>
              <w:spacing w:after="0"/>
            </w:pPr>
            <w:r/>
            <w:r>
              <w:rPr>
                <w:rFonts w:ascii="Aptos" w:hAnsi="Aptos"/>
                <w:b w:val="0"/>
                <w:color w:val="222222"/>
                <w:sz w:val="16"/>
              </w:rPr>
              <w:t>Modelled proxy not directly observed</w:t>
            </w:r>
          </w:p>
        </w:tc>
        <w:tc>
          <w:tcPr>
            <w:tcW w:type="dxa" w:w="3168"/>
            <w:vAlign w:val="center"/>
          </w:tcPr>
          <w:p>
            <w:pPr>
              <w:spacing w:after="0"/>
            </w:pPr>
            <w:r/>
            <w:r>
              <w:rPr>
                <w:rFonts w:ascii="Aptos" w:hAnsi="Aptos"/>
                <w:b w:val="0"/>
                <w:color w:val="222222"/>
                <w:sz w:val="16"/>
              </w:rPr>
              <w:t>SPF, natural-feed offset</w:t>
            </w:r>
          </w:p>
        </w:tc>
        <w:tc>
          <w:tcPr>
            <w:tcW w:type="dxa" w:w="1800"/>
            <w:vAlign w:val="center"/>
          </w:tcPr>
          <w:p>
            <w:pPr>
              <w:spacing w:after="0"/>
            </w:pPr>
            <w:r/>
            <w:r>
              <w:rPr>
                <w:rFonts w:ascii="Aptos" w:hAnsi="Aptos"/>
                <w:b w:val="0"/>
                <w:color w:val="222222"/>
                <w:sz w:val="16"/>
              </w:rPr>
              <w:t>Allowed only within stated bounds and caveats</w:t>
            </w:r>
          </w:p>
        </w:tc>
      </w:tr>
    </w:tbl>
    <w:p>
      <w:pPr>
        <w:spacing w:after="20"/>
      </w:pPr>
    </w:p>
    <w:p>
      <w:pPr>
        <w:pStyle w:val="Heading1"/>
      </w:pPr>
      <w:r>
        <w:t>Field Enumerator Quick Checklist</w:t>
      </w:r>
    </w:p>
    <w:p>
      <w:pPr>
        <w:pStyle w:val="ListBullet"/>
        <w:spacing w:after="40"/>
      </w:pPr>
      <w:r>
        <w:t>Confirm Farm ID, Pond ID and crop dates before collecting measurements.</w:t>
      </w:r>
    </w:p>
    <w:p>
      <w:pPr>
        <w:pStyle w:val="ListBullet"/>
        <w:spacing w:after="40"/>
      </w:pPr>
      <w:r>
        <w:t>Record latitude and longitude once per pond/crop cycle and retain the GPS source.</w:t>
      </w:r>
    </w:p>
    <w:p>
      <w:pPr>
        <w:pStyle w:val="ListBullet"/>
        <w:spacing w:after="40"/>
      </w:pPr>
      <w:r>
        <w:t>Verify that the IMC configuration has zero Paddlewheel and zero Blower hours.</w:t>
      </w:r>
    </w:p>
    <w:p>
      <w:pPr>
        <w:pStyle w:val="ListBullet"/>
        <w:spacing w:after="40"/>
      </w:pPr>
      <w:r>
        <w:t>Record feed quantity by weighing whenever possible; do not rely only on visual estimates.</w:t>
      </w:r>
    </w:p>
    <w:p>
      <w:pPr>
        <w:pStyle w:val="ListBullet"/>
        <w:spacing w:after="40"/>
      </w:pPr>
      <w:r>
        <w:t>Retain all feed purchase invoices for DOB, GNC, SBM and DDGS.</w:t>
      </w:r>
    </w:p>
    <w:p>
      <w:pPr>
        <w:pStyle w:val="ListBullet"/>
        <w:spacing w:after="40"/>
      </w:pPr>
      <w:r>
        <w:t>Take pre-dawn DO measurements consistently at the defined monitoring point.</w:t>
      </w:r>
    </w:p>
    <w:p>
      <w:pPr>
        <w:pStyle w:val="ListBullet"/>
        <w:spacing w:after="40"/>
      </w:pPr>
      <w:r>
        <w:t>Record H₂S as Nil or Detected using a consistent method.</w:t>
      </w:r>
    </w:p>
    <w:p>
      <w:pPr>
        <w:pStyle w:val="ListBullet"/>
        <w:spacing w:after="40"/>
      </w:pPr>
      <w:r>
        <w:t>Complete the weekly plankton log even when the pond appears visually normal.</w:t>
      </w:r>
    </w:p>
    <w:p>
      <w:pPr>
        <w:pStyle w:val="ListBullet"/>
        <w:spacing w:after="40"/>
      </w:pPr>
      <w:r>
        <w:t>Record cyanobacteria percentage separately; do not combine it with beneficial algal groups.</w:t>
      </w:r>
    </w:p>
    <w:p>
      <w:pPr>
        <w:pStyle w:val="ListBullet"/>
        <w:spacing w:after="40"/>
      </w:pPr>
      <w:r>
        <w:t>Record zooplankton using the defined 0–3 score.</w:t>
      </w:r>
    </w:p>
    <w:p>
      <w:pPr>
        <w:pStyle w:val="ListBullet"/>
        <w:spacing w:after="40"/>
      </w:pPr>
      <w:r>
        <w:t>Collect pre-stocking and post-harvest soil samples using comparable depth and sampling protocol.</w:t>
      </w:r>
    </w:p>
    <w:p>
      <w:pPr>
        <w:pStyle w:val="ListBullet"/>
        <w:spacing w:after="40"/>
      </w:pPr>
      <w:r>
        <w:t>Reconcile feed inventory, feed purchases and feed used before finalizing the crop.</w:t>
      </w:r>
    </w:p>
    <w:p>
      <w:pPr>
        <w:pStyle w:val="ListBullet"/>
        <w:spacing w:after="40"/>
      </w:pPr>
      <w:r>
        <w:t>Reconcile electricity bills, meter readings, diesel records and generator use.</w:t>
      </w:r>
    </w:p>
    <w:p>
      <w:pPr>
        <w:pStyle w:val="ListBullet"/>
        <w:spacing w:after="40"/>
      </w:pPr>
      <w:r>
        <w:t>Attach evidence IDs to major observations and calculations.</w:t>
      </w:r>
    </w:p>
    <w:p>
      <w:pPr>
        <w:pStyle w:val="ListBullet"/>
        <w:spacing w:after="40"/>
      </w:pPr>
      <w:r>
        <w:t>Resolve all MRV FAIL conditions before issuing a final carbon-reduction result.</w:t>
      </w:r>
    </w:p>
    <w:p>
      <w:pPr>
        <w:pStyle w:val="Heading1"/>
      </w:pPr>
      <w:r>
        <w:t>Software Implementation Notes</w:t>
      </w:r>
    </w:p>
    <w:p>
      <w:r>
        <w:t>The formulas in this manual are intentionally expressed independently of Excel cell addresses. A web implementation should represent the same variables as typed fields with units, validation rules, timestamps and provenance. The calculation engine should retain intermediate values so an auditor can reproduce the result without reverse-engineering a single final number.</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7365D"/>
          </w:tcPr>
          <w:p>
            <w:pPr>
              <w:spacing w:after="0"/>
            </w:pPr>
            <w:r/>
            <w:r>
              <w:rPr>
                <w:rFonts w:ascii="Aptos" w:hAnsi="Aptos"/>
                <w:b/>
                <w:color w:val="FFFFFF"/>
                <w:sz w:val="17"/>
              </w:rPr>
              <w:t>Data object</w:t>
            </w:r>
          </w:p>
        </w:tc>
        <w:tc>
          <w:tcPr>
            <w:tcW w:type="dxa" w:w="7200"/>
            <w:vAlign w:val="center"/>
            <w:shd w:fill="17365D"/>
          </w:tcPr>
          <w:p>
            <w:pPr>
              <w:spacing w:after="0"/>
            </w:pPr>
            <w:r/>
            <w:r>
              <w:rPr>
                <w:rFonts w:ascii="Aptos" w:hAnsi="Aptos"/>
                <w:b/>
                <w:color w:val="FFFFFF"/>
                <w:sz w:val="17"/>
              </w:rPr>
              <w:t>Minimum fields</w:t>
            </w:r>
          </w:p>
        </w:tc>
      </w:tr>
      <w:tr>
        <w:tc>
          <w:tcPr>
            <w:tcW w:type="dxa" w:w="3024"/>
            <w:vAlign w:val="center"/>
          </w:tcPr>
          <w:p>
            <w:pPr>
              <w:spacing w:after="0"/>
            </w:pPr>
            <w:r>
              <w:rPr>
                <w:b/>
              </w:rPr>
            </w:r>
            <w:r>
              <w:rPr>
                <w:rFonts w:ascii="Aptos" w:hAnsi="Aptos"/>
                <w:b w:val="0"/>
                <w:color w:val="222222"/>
                <w:sz w:val="16"/>
              </w:rPr>
              <w:t>Farm</w:t>
            </w:r>
          </w:p>
        </w:tc>
        <w:tc>
          <w:tcPr>
            <w:tcW w:type="dxa" w:w="7200"/>
            <w:vAlign w:val="center"/>
          </w:tcPr>
          <w:p>
            <w:pPr>
              <w:spacing w:after="0"/>
            </w:pPr>
            <w:r/>
            <w:r>
              <w:rPr>
                <w:rFonts w:ascii="Aptos" w:hAnsi="Aptos"/>
                <w:b w:val="0"/>
                <w:color w:val="222222"/>
                <w:sz w:val="16"/>
              </w:rPr>
              <w:t>farm_id, operator, latitude, longitude, pond_area_ha</w:t>
            </w:r>
          </w:p>
        </w:tc>
      </w:tr>
      <w:tr>
        <w:tc>
          <w:tcPr>
            <w:tcW w:type="dxa" w:w="3024"/>
            <w:vAlign w:val="center"/>
          </w:tcPr>
          <w:p>
            <w:pPr>
              <w:spacing w:after="0"/>
            </w:pPr>
            <w:r>
              <w:rPr>
                <w:b/>
              </w:rPr>
            </w:r>
            <w:r>
              <w:rPr>
                <w:rFonts w:ascii="Aptos" w:hAnsi="Aptos"/>
                <w:b w:val="0"/>
                <w:color w:val="222222"/>
                <w:sz w:val="16"/>
              </w:rPr>
              <w:t>Crop</w:t>
            </w:r>
          </w:p>
        </w:tc>
        <w:tc>
          <w:tcPr>
            <w:tcW w:type="dxa" w:w="7200"/>
            <w:vAlign w:val="center"/>
          </w:tcPr>
          <w:p>
            <w:pPr>
              <w:spacing w:after="0"/>
            </w:pPr>
            <w:r/>
            <w:r>
              <w:rPr>
                <w:rFonts w:ascii="Aptos" w:hAnsi="Aptos"/>
                <w:b w:val="0"/>
                <w:color w:val="222222"/>
                <w:sz w:val="16"/>
              </w:rPr>
              <w:t>crop_id, farm_id, stocking_date, harvest_date, species_configuration</w:t>
            </w:r>
          </w:p>
        </w:tc>
      </w:tr>
      <w:tr>
        <w:tc>
          <w:tcPr>
            <w:tcW w:type="dxa" w:w="3024"/>
            <w:vAlign w:val="center"/>
          </w:tcPr>
          <w:p>
            <w:pPr>
              <w:spacing w:after="0"/>
            </w:pPr>
            <w:r>
              <w:rPr>
                <w:b/>
              </w:rPr>
            </w:r>
            <w:r>
              <w:rPr>
                <w:rFonts w:ascii="Aptos" w:hAnsi="Aptos"/>
                <w:b w:val="0"/>
                <w:color w:val="222222"/>
                <w:sz w:val="16"/>
              </w:rPr>
              <w:t>FeedPurchase</w:t>
            </w:r>
          </w:p>
        </w:tc>
        <w:tc>
          <w:tcPr>
            <w:tcW w:type="dxa" w:w="7200"/>
            <w:vAlign w:val="center"/>
          </w:tcPr>
          <w:p>
            <w:pPr>
              <w:spacing w:after="0"/>
            </w:pPr>
            <w:r/>
            <w:r>
              <w:rPr>
                <w:rFonts w:ascii="Aptos" w:hAnsi="Aptos"/>
                <w:b w:val="0"/>
                <w:color w:val="222222"/>
                <w:sz w:val="16"/>
              </w:rPr>
              <w:t>date, ingredient, quantity_kg, invoice_id, supplier</w:t>
            </w:r>
          </w:p>
        </w:tc>
      </w:tr>
      <w:tr>
        <w:tc>
          <w:tcPr>
            <w:tcW w:type="dxa" w:w="3024"/>
            <w:vAlign w:val="center"/>
          </w:tcPr>
          <w:p>
            <w:pPr>
              <w:spacing w:after="0"/>
            </w:pPr>
            <w:r>
              <w:rPr>
                <w:b/>
              </w:rPr>
            </w:r>
            <w:r>
              <w:rPr>
                <w:rFonts w:ascii="Aptos" w:hAnsi="Aptos"/>
                <w:b w:val="0"/>
                <w:color w:val="222222"/>
                <w:sz w:val="16"/>
              </w:rPr>
              <w:t>FeedUse</w:t>
            </w:r>
          </w:p>
        </w:tc>
        <w:tc>
          <w:tcPr>
            <w:tcW w:type="dxa" w:w="7200"/>
            <w:vAlign w:val="center"/>
          </w:tcPr>
          <w:p>
            <w:pPr>
              <w:spacing w:after="0"/>
            </w:pPr>
            <w:r/>
            <w:r>
              <w:rPr>
                <w:rFonts w:ascii="Aptos" w:hAnsi="Aptos"/>
                <w:b w:val="0"/>
                <w:color w:val="222222"/>
                <w:sz w:val="16"/>
              </w:rPr>
              <w:t>date, quantity_kg, feeding_event_id</w:t>
            </w:r>
          </w:p>
        </w:tc>
      </w:tr>
      <w:tr>
        <w:tc>
          <w:tcPr>
            <w:tcW w:type="dxa" w:w="3024"/>
            <w:vAlign w:val="center"/>
          </w:tcPr>
          <w:p>
            <w:pPr>
              <w:spacing w:after="0"/>
            </w:pPr>
            <w:r>
              <w:rPr>
                <w:b/>
              </w:rPr>
            </w:r>
            <w:r>
              <w:rPr>
                <w:rFonts w:ascii="Aptos" w:hAnsi="Aptos"/>
                <w:b w:val="0"/>
                <w:color w:val="222222"/>
                <w:sz w:val="16"/>
              </w:rPr>
              <w:t>WaterQualityObservation</w:t>
            </w:r>
          </w:p>
        </w:tc>
        <w:tc>
          <w:tcPr>
            <w:tcW w:type="dxa" w:w="7200"/>
            <w:vAlign w:val="center"/>
          </w:tcPr>
          <w:p>
            <w:pPr>
              <w:spacing w:after="0"/>
            </w:pPr>
            <w:r/>
            <w:r>
              <w:rPr>
                <w:rFonts w:ascii="Aptos" w:hAnsi="Aptos"/>
                <w:b w:val="0"/>
                <w:color w:val="222222"/>
                <w:sz w:val="16"/>
              </w:rPr>
              <w:t>date, pH, pre_dawn_DO, TAN, H2S, secchi_depth</w:t>
            </w:r>
          </w:p>
        </w:tc>
      </w:tr>
      <w:tr>
        <w:tc>
          <w:tcPr>
            <w:tcW w:type="dxa" w:w="3024"/>
            <w:vAlign w:val="center"/>
          </w:tcPr>
          <w:p>
            <w:pPr>
              <w:spacing w:after="0"/>
            </w:pPr>
            <w:r>
              <w:rPr>
                <w:b/>
              </w:rPr>
            </w:r>
            <w:r>
              <w:rPr>
                <w:rFonts w:ascii="Aptos" w:hAnsi="Aptos"/>
                <w:b w:val="0"/>
                <w:color w:val="222222"/>
                <w:sz w:val="16"/>
              </w:rPr>
              <w:t>PlanktonObservation</w:t>
            </w:r>
          </w:p>
        </w:tc>
        <w:tc>
          <w:tcPr>
            <w:tcW w:type="dxa" w:w="7200"/>
            <w:vAlign w:val="center"/>
          </w:tcPr>
          <w:p>
            <w:pPr>
              <w:spacing w:after="0"/>
            </w:pPr>
            <w:r/>
            <w:r>
              <w:rPr>
                <w:rFonts w:ascii="Aptos" w:hAnsi="Aptos"/>
                <w:b w:val="0"/>
                <w:color w:val="222222"/>
                <w:sz w:val="16"/>
              </w:rPr>
              <w:t>date, diatoms_pct, green_algae_pct, cyanobacteria_pct, zooplankton_score</w:t>
            </w:r>
          </w:p>
        </w:tc>
      </w:tr>
      <w:tr>
        <w:tc>
          <w:tcPr>
            <w:tcW w:type="dxa" w:w="3024"/>
            <w:vAlign w:val="center"/>
          </w:tcPr>
          <w:p>
            <w:pPr>
              <w:spacing w:after="0"/>
            </w:pPr>
            <w:r>
              <w:rPr>
                <w:b/>
              </w:rPr>
            </w:r>
            <w:r>
              <w:rPr>
                <w:rFonts w:ascii="Aptos" w:hAnsi="Aptos"/>
                <w:b w:val="0"/>
                <w:color w:val="222222"/>
                <w:sz w:val="16"/>
              </w:rPr>
              <w:t>SoilTest</w:t>
            </w:r>
          </w:p>
        </w:tc>
        <w:tc>
          <w:tcPr>
            <w:tcW w:type="dxa" w:w="7200"/>
            <w:vAlign w:val="center"/>
          </w:tcPr>
          <w:p>
            <w:pPr>
              <w:spacing w:after="0"/>
            </w:pPr>
            <w:r/>
            <w:r>
              <w:rPr>
                <w:rFonts w:ascii="Aptos" w:hAnsi="Aptos"/>
                <w:b w:val="0"/>
                <w:color w:val="222222"/>
                <w:sz w:val="16"/>
              </w:rPr>
              <w:t>date, phase, SOC_pct, total_N_pct, C_N, bulk_density, depth_m, lab_report_id</w:t>
            </w:r>
          </w:p>
        </w:tc>
      </w:tr>
      <w:tr>
        <w:tc>
          <w:tcPr>
            <w:tcW w:type="dxa" w:w="3024"/>
            <w:vAlign w:val="center"/>
          </w:tcPr>
          <w:p>
            <w:pPr>
              <w:spacing w:after="0"/>
            </w:pPr>
            <w:r>
              <w:rPr>
                <w:b/>
              </w:rPr>
            </w:r>
            <w:r>
              <w:rPr>
                <w:rFonts w:ascii="Aptos" w:hAnsi="Aptos"/>
                <w:b w:val="0"/>
                <w:color w:val="222222"/>
                <w:sz w:val="16"/>
              </w:rPr>
              <w:t>EnergyRecord</w:t>
            </w:r>
          </w:p>
        </w:tc>
        <w:tc>
          <w:tcPr>
            <w:tcW w:type="dxa" w:w="7200"/>
            <w:vAlign w:val="center"/>
          </w:tcPr>
          <w:p>
            <w:pPr>
              <w:spacing w:after="0"/>
            </w:pPr>
            <w:r/>
            <w:r>
              <w:rPr>
                <w:rFonts w:ascii="Aptos" w:hAnsi="Aptos"/>
                <w:b w:val="0"/>
                <w:color w:val="222222"/>
                <w:sz w:val="16"/>
              </w:rPr>
              <w:t>date, source, quantity, unit, meter_or_invoice_id</w:t>
            </w:r>
          </w:p>
        </w:tc>
      </w:tr>
      <w:tr>
        <w:tc>
          <w:tcPr>
            <w:tcW w:type="dxa" w:w="3024"/>
            <w:vAlign w:val="center"/>
          </w:tcPr>
          <w:p>
            <w:pPr>
              <w:spacing w:after="0"/>
            </w:pPr>
            <w:r>
              <w:rPr>
                <w:b/>
              </w:rPr>
            </w:r>
            <w:r>
              <w:rPr>
                <w:rFonts w:ascii="Aptos" w:hAnsi="Aptos"/>
                <w:b w:val="0"/>
                <w:color w:val="222222"/>
                <w:sz w:val="16"/>
              </w:rPr>
              <w:t>Harvest</w:t>
            </w:r>
          </w:p>
        </w:tc>
        <w:tc>
          <w:tcPr>
            <w:tcW w:type="dxa" w:w="7200"/>
            <w:vAlign w:val="center"/>
          </w:tcPr>
          <w:p>
            <w:pPr>
              <w:spacing w:after="0"/>
            </w:pPr>
            <w:r/>
            <w:r>
              <w:rPr>
                <w:rFonts w:ascii="Aptos" w:hAnsi="Aptos"/>
                <w:b w:val="0"/>
                <w:color w:val="222222"/>
                <w:sz w:val="16"/>
              </w:rPr>
              <w:t>date, species, quantity_kg, evidence_id</w:t>
            </w:r>
          </w:p>
        </w:tc>
      </w:tr>
      <w:tr>
        <w:tc>
          <w:tcPr>
            <w:tcW w:type="dxa" w:w="3024"/>
            <w:vAlign w:val="center"/>
          </w:tcPr>
          <w:p>
            <w:pPr>
              <w:spacing w:after="0"/>
            </w:pPr>
            <w:r>
              <w:rPr>
                <w:b/>
              </w:rPr>
            </w:r>
            <w:r>
              <w:rPr>
                <w:rFonts w:ascii="Aptos" w:hAnsi="Aptos"/>
                <w:b w:val="0"/>
                <w:color w:val="222222"/>
                <w:sz w:val="16"/>
              </w:rPr>
              <w:t>CalculatedParameter</w:t>
            </w:r>
          </w:p>
        </w:tc>
        <w:tc>
          <w:tcPr>
            <w:tcW w:type="dxa" w:w="7200"/>
            <w:vAlign w:val="center"/>
          </w:tcPr>
          <w:p>
            <w:pPr>
              <w:spacing w:after="0"/>
            </w:pPr>
            <w:r/>
            <w:r>
              <w:rPr>
                <w:rFonts w:ascii="Aptos" w:hAnsi="Aptos"/>
                <w:b w:val="0"/>
                <w:color w:val="222222"/>
                <w:sz w:val="16"/>
              </w:rPr>
              <w:t>parameter, value, unit, provenance, formula_version, timestamp</w:t>
            </w:r>
          </w:p>
        </w:tc>
      </w:tr>
      <w:tr>
        <w:tc>
          <w:tcPr>
            <w:tcW w:type="dxa" w:w="3024"/>
            <w:vAlign w:val="center"/>
          </w:tcPr>
          <w:p>
            <w:pPr>
              <w:spacing w:after="0"/>
            </w:pPr>
            <w:r>
              <w:rPr>
                <w:b/>
              </w:rPr>
            </w:r>
            <w:r>
              <w:rPr>
                <w:rFonts w:ascii="Aptos" w:hAnsi="Aptos"/>
                <w:b w:val="0"/>
                <w:color w:val="222222"/>
                <w:sz w:val="16"/>
              </w:rPr>
              <w:t>MRVCheck</w:t>
            </w:r>
          </w:p>
        </w:tc>
        <w:tc>
          <w:tcPr>
            <w:tcW w:type="dxa" w:w="7200"/>
            <w:vAlign w:val="center"/>
          </w:tcPr>
          <w:p>
            <w:pPr>
              <w:spacing w:after="0"/>
            </w:pPr>
            <w:r/>
            <w:r>
              <w:rPr>
                <w:rFonts w:ascii="Aptos" w:hAnsi="Aptos"/>
                <w:b w:val="0"/>
                <w:color w:val="222222"/>
                <w:sz w:val="16"/>
              </w:rPr>
              <w:t>check_id, status, observed_value, threshold, evidence_id</w:t>
            </w:r>
          </w:p>
        </w:tc>
      </w:tr>
    </w:tbl>
    <w:p>
      <w:pPr>
        <w:spacing w:after="20"/>
      </w:pPr>
    </w:p>
    <w:p>
      <w:pPr>
        <w:pStyle w:val="Heading1"/>
      </w:pPr>
      <w:r>
        <w:t>Methodology Version Control</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17365D"/>
          </w:tcPr>
          <w:p>
            <w:pPr>
              <w:spacing w:after="0"/>
            </w:pPr>
            <w:r/>
            <w:r>
              <w:rPr>
                <w:rFonts w:ascii="Aptos" w:hAnsi="Aptos"/>
                <w:b/>
                <w:color w:val="FFFFFF"/>
                <w:sz w:val="17"/>
              </w:rPr>
              <w:t>Version</w:t>
            </w:r>
          </w:p>
        </w:tc>
        <w:tc>
          <w:tcPr>
            <w:tcW w:type="dxa" w:w="8640"/>
            <w:vAlign w:val="center"/>
            <w:shd w:fill="17365D"/>
          </w:tcPr>
          <w:p>
            <w:pPr>
              <w:spacing w:after="0"/>
            </w:pPr>
            <w:r/>
            <w:r>
              <w:rPr>
                <w:rFonts w:ascii="Aptos" w:hAnsi="Aptos"/>
                <w:b/>
                <w:color w:val="FFFFFF"/>
                <w:sz w:val="17"/>
              </w:rPr>
              <w:t>Change</w:t>
            </w:r>
          </w:p>
        </w:tc>
      </w:tr>
      <w:tr>
        <w:tc>
          <w:tcPr>
            <w:tcW w:type="dxa" w:w="1584"/>
            <w:vAlign w:val="center"/>
          </w:tcPr>
          <w:p>
            <w:pPr>
              <w:spacing w:after="0"/>
            </w:pPr>
            <w:r>
              <w:rPr>
                <w:b/>
              </w:rPr>
            </w:r>
            <w:r>
              <w:rPr>
                <w:rFonts w:ascii="Aptos" w:hAnsi="Aptos"/>
                <w:b w:val="0"/>
                <w:color w:val="222222"/>
                <w:sz w:val="16"/>
              </w:rPr>
              <w:t>v3.4</w:t>
            </w:r>
          </w:p>
        </w:tc>
        <w:tc>
          <w:tcPr>
            <w:tcW w:type="dxa" w:w="8640"/>
            <w:vAlign w:val="center"/>
          </w:tcPr>
          <w:p>
            <w:pPr>
              <w:spacing w:after="0"/>
            </w:pPr>
            <w:r/>
            <w:r>
              <w:rPr>
                <w:rFonts w:ascii="Aptos" w:hAnsi="Aptos"/>
                <w:b w:val="0"/>
                <w:color w:val="222222"/>
                <w:sz w:val="16"/>
              </w:rPr>
              <w:t>Field-data-driven IMC MRV architecture: SPF, WQ/plankton log, dynamic anaerobic fraction, cyanobacteria N₂O adjustment, DO stress penalty, actual feed formulation, measured SOC, C:N adjustment, IMC aeration lock and MRV integrity checks.</w:t>
            </w:r>
          </w:p>
        </w:tc>
      </w:tr>
      <w:tr>
        <w:tc>
          <w:tcPr>
            <w:tcW w:type="dxa" w:w="1584"/>
            <w:vAlign w:val="center"/>
          </w:tcPr>
          <w:p>
            <w:pPr>
              <w:spacing w:after="0"/>
            </w:pPr>
            <w:r>
              <w:rPr>
                <w:b/>
              </w:rPr>
            </w:r>
            <w:r>
              <w:rPr>
                <w:rFonts w:ascii="Aptos" w:hAnsi="Aptos"/>
                <w:b w:val="0"/>
                <w:color w:val="222222"/>
                <w:sz w:val="16"/>
              </w:rPr>
              <w:t>Future revisions</w:t>
            </w:r>
          </w:p>
        </w:tc>
        <w:tc>
          <w:tcPr>
            <w:tcW w:type="dxa" w:w="8640"/>
            <w:vAlign w:val="center"/>
          </w:tcPr>
          <w:p>
            <w:pPr>
              <w:spacing w:after="0"/>
            </w:pPr>
            <w:r/>
            <w:r>
              <w:rPr>
                <w:rFonts w:ascii="Aptos" w:hAnsi="Aptos"/>
                <w:b w:val="0"/>
                <w:color w:val="222222"/>
                <w:sz w:val="16"/>
              </w:rPr>
              <w:t>Any change to emission factors, adjustment coefficients, boundaries, units, equations or default assumptions must be recorded in the workbook Change Log and this manual before use in a new reporting period.</w:t>
            </w:r>
          </w:p>
        </w:tc>
      </w:tr>
    </w:tbl>
    <w:p>
      <w:pPr>
        <w:spacing w:after="20"/>
      </w:pPr>
    </w:p>
    <w:p>
      <w:pPr>
        <w:pStyle w:val="Heading1"/>
      </w:pPr>
      <w:r>
        <w:t>Final Methodology Statement</w:t>
      </w:r>
    </w:p>
    <w:p>
      <w:r>
        <w:t>The Indian Aquaculture GHG &amp; Carbon MRV Tool v3.4 is designed to convert farm observations into a transparent, reproducible and auditable emissions dataset for semi-intensive IMC polyculture. Its principal methodological improvement is the controlled transition from static defaults toward field-data-driven parameters while preserving the established production and harvest cascade.</w:t>
      </w:r>
    </w:p>
    <w:p>
      <w:r>
        <w:t>For carbon-credit applications, the workbook result shall be treated as a quantified MRV output subject to the requirements of the selected external carbon standard and methodology. The final claim shall use only eligible emission reductions supported by the defined project boundary, baseline, monitoring plan, evidence archive, uncertainty treatment and independent validation/verification process.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Official Data Collection &amp; Calculation Methodology Manual  •  Controlled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Indian Aquaculture GHG &amp; Carbon MRV Tool v3.4  |  IMC Methodology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basedOn w:val="Normal"/>
    <w:rPr>
      <w:rFonts w:ascii="Aptos" w:hAnsi="Aptos"/>
      <w:color w:val="666666"/>
      <w:sz w:val="22"/>
    </w:rPr>
  </w:style>
  <w:style w:type="paragraph" w:customStyle="1" w:styleId="Formula">
    <w:name w:val="Formula"/>
    <w:basedOn w:val="Normal"/>
    <w:rPr>
      <w:rFonts w:ascii="Aptos" w:hAnsi="Aptos"/>
      <w:color w:val="222222"/>
      <w:sz w:val="18"/>
    </w:rPr>
  </w:style>
  <w:style w:type="paragraph" w:customStyle="1" w:styleId="SmallNote">
    <w:name w:val="Small Note"/>
    <w:basedOn w:val="Normal"/>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