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513" w:leader="none"/>
          <w:tab w:val="right" w:pos="9026" w:leader="none"/>
        </w:tabs>
        <w:spacing w:before="0" w:after="0" w:line="240"/>
        <w:ind w:right="0" w:left="0" w:firstLine="0"/>
        <w:jc w:val="center"/>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Abstract for Benchmarking Probabilistic Deep Learning Methods for License Plate Recognition</w:t>
      </w:r>
    </w:p>
    <w:p>
      <w:pPr>
        <w:spacing w:before="100" w:after="100" w:line="240"/>
        <w:ind w:right="0" w:left="72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SUMMARY</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paper proposes to model the prediction uncertainty for LPR explicitly, using three methods: deep ensembles, Batch Ensemble, and Monte Carlo dropout. These methods provide a confidence estimate for each prediction, indicating whether to trust the LPR result or not.</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paper compares the three methods on two architectures: a convolutional neural network (CNN) and a multi-task framework that combines LPR and super-resolution. The experiments use synthetic data with different types and levels of degradation, such as noise, blur, and compression.</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paper shows that the predictive uncertainty can reliably detect wrong predictions, especially for deep ensembles and MC-dropout. The paper also shows that the multi-task framework improves the LPR performance and the expressiveness of the predictive uncertainty, by introducing an inductive bias from the super-resolution task.</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paper concludes that probabilistic deep learning techniques can improve the reliability of LPR in unconstrained scenarios, and that super-resolution can enhance the character recognition and the uncertainty estimation. The paper also suggests future work on applying the methods to real-world datasets and multi-national license plates.</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paper addresses the challenge of LPR on out-of-distribution images, such as images with extreme environmental conditions, low quality, or different acquisition devices. These images can cause neural networks to fail silently and produce wrong predictions. The paper proposes to model the prediction uncertainty for LPR explicitly, using three methods: deep ensembles, Batch Ensemble, and Monte Carlo dropout. These methods provide a confidence estimate for each prediction, indicating whether to trust the LPR result or not. The paper compares the three methods on two architectures: a convolutional neural network (CNN) and a multi-task framework that combines LPR and super-resolution. The experiments use synthetic data with different types and levels of degradation, such as noise, blur, and compression.</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paper shows that the predictive uncertainty can reliably detect wrong predictions, especially for deep ensembles and MC-dropout. The paper also shows that the multi-task framework improves the LPR performance and the expressiveness of the predictive uncertainty, by introducing an inductive bias from the super-resolution task. The paper concludes that probabilistic deep learning techniques can improve the reliability of LPR in unconstrained scenarios, and that super-resolution can enhance the character recognition and the uncertainty estimation. The paper also suggests future work on applying the methods to real-world datasets and multi-national license plates.</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conclusion, the paper presents a novel approach to LPR that addresses the challenge of out-of-distribution images. The proposed methods provide a confidence estimate for each prediction, which can help detect wrong predictions and improve the reliability of LPR. The paper also shows that the multi-task framework can enhance the character recognition and the uncertainty estimation, by leveraging the inductive bias from the super-resolution task. The paper suggests future work on applying the methods to real-world datasets and multi-national license plates, which can further improve the performance and generalization of LPR.</w:t>
      </w:r>
    </w:p>
    <w:p>
      <w:pPr>
        <w:spacing w:before="100" w:after="10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w:t>
      </w:r>
    </w:p>
    <w:p>
      <w:pPr>
        <w:spacing w:before="100" w:after="100" w:line="240"/>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Existing System</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Optical character recognition (OCR) is a technology that changes printed documents into digital image files. It is a digital copy machine that utilizes automation to transform a scanned document into machine-readable PDFs that you can edit and share. OCR can also recognize text from photos, videos, or subtitles, and support multiple languages and fonts. OCR is a common method of digitizing and editing text from various sources, such as scanned documents, photos, or subtitles.</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Using OCR for license plate recognition means applying OCR to images of license plates to read the vehicle registration numbers. This can be useful for various purposes, such as identifying the vehicle or its owner, enforcing traffic rules, tracking stolen vehicles, or collecting tolls. OCR for license plate recognition can be performed by using two steps: license plate detection and license plate recognition. License plate detection is the process of locating the license plate region in an image or a video frame. License plate recognition is the process of extracting the alphanumeric characters from the license plate images.</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Some of the advantages of using OCR for license plate recognition are:</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saves time and resources by eliminating the need for manual data entry and transcription.</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improves accuracy and efficiency by reducing human errors and enhancing data quality.</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enables data analysis and processing by allowing natural language processing algorithms to decipher the text and make sense of what the document conveys.</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increases accessibility and usability by allowing visually impaired users to have a computer read text to them out loud.</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Some of the disadvantages of using OCR for license plate recognition are:</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may not work well with low-quality images, complex layouts, or handwritten text.</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may not recognize some characters, symbols, or languages correctly.</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may require additional software or hardware to perform OCR, such as scanners, cameras, or OCR tools.</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may raise privacy and security issues if the scanned documents contain sensitive or personal information.</w:t>
      </w:r>
    </w:p>
    <w:p>
      <w:pPr>
        <w:spacing w:before="100" w:after="100" w:line="240"/>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PROPOSED SYSTEM</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Probabilistic deep learning is a branch of deep learning that models the uncertainty and variability of data and predictions. Probabilistic deep learning can provide a measure of confidence or reliability for the outputs of neural networks, such as the probability of a certain class or the range of possible values. Probabilistic deep learning can be useful for tasks that involve noisy, incomplete, or out-of-distribution data, such as license plate recognition.</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License plate recognition is the task of detecting and reading the license plate number of a vehicle from an image or a video. License plate recognition can be challenging due to the variations in license plate formats, fonts, colours, sizes, orientations, lighting conditions, and occlusions. License plate recognition can be performed by using deep learning methods, such as convolutional neural networks, recurrent neural networks, or attention mechanisms.</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Using probabilistic deep learning for license plate recognition can have the following advantages:</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can improve the accuracy and robustness of license plate recognition by accounting for the uncertainty and variability of the data and the predictions.</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can provide a measure of confidence or reliability for the license plate recognition results, which can help detect false predictions and indicate when to trust the automated system.</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can enable data analysis and processing by allowing natural language processing algorithms to decipher the text and make sense of what the document conveys.</w:t>
      </w: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Using probabilistic deep learning for license plate recognition can have the following disadvantages:</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can increase the computational complexity and cost of license plate recognition by requiring more parameters, layers, or samples to model the uncertainty.</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can introduce new sources of uncertainty or error, such as the choice of the prior distribution, the approximation method, or the calibration technique.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can raise privacy and security issues if the probabilistic outputs reveal sensitive or personal information about the license plate owners or the vehicles.</w:t>
      </w:r>
    </w:p>
    <w:p>
      <w:pPr>
        <w:spacing w:before="100" w:after="10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w:t>
      </w:r>
    </w:p>
    <w:p>
      <w:pPr>
        <w:spacing w:before="0" w:after="200" w:line="360"/>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HARDWARE AND SOFTWARE REQUIREMENTS</w:t>
      </w:r>
    </w:p>
    <w:p>
      <w:pPr>
        <w:spacing w:before="0" w:after="200" w:line="360"/>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REQUIREMENT ANALYSIS:</w:t>
      </w:r>
    </w:p>
    <w:p>
      <w:pPr>
        <w:spacing w:before="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32"/>
          <w:shd w:fill="auto" w:val="clear"/>
        </w:rPr>
        <w:t xml:space="preserve">The project involved analysing the design of few applications so as to make the application more users friendly. To do so, it was really important to keep the navigations from one screen to the other well-ordered and at the same time reducing the amount of typing the user needs to do. In order to make the application more accessible, the browser version had to be chosen so that it is compatible with most of the Browsers.</w:t>
      </w:r>
      <w:r>
        <w:rPr>
          <w:rFonts w:ascii="Calibri" w:hAnsi="Calibri" w:cs="Calibri" w:eastAsia="Calibri"/>
          <w:color w:val="auto"/>
          <w:spacing w:val="0"/>
          <w:position w:val="0"/>
          <w:sz w:val="28"/>
          <w:shd w:fill="auto" w:val="clear"/>
        </w:rPr>
        <w:t xml:space="preserve"> </w:t>
      </w:r>
    </w:p>
    <w:p>
      <w:pPr>
        <w:spacing w:before="0" w:after="200" w:line="36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REQUIREMENT SPECIFICATION</w:t>
      </w:r>
    </w:p>
    <w:p>
      <w:pPr>
        <w:spacing w:before="0" w:after="200" w:line="36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Functional Requirements</w:t>
      </w:r>
    </w:p>
    <w:p>
      <w:pPr>
        <w:numPr>
          <w:ilvl w:val="0"/>
          <w:numId w:val="18"/>
        </w:numPr>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Graphical User interface with the User.</w:t>
      </w:r>
    </w:p>
    <w:p>
      <w:pPr>
        <w:spacing w:before="0" w:after="200" w:line="360"/>
        <w:ind w:right="0" w:left="1440" w:firstLine="0"/>
        <w:jc w:val="left"/>
        <w:rPr>
          <w:rFonts w:ascii="Calibri" w:hAnsi="Calibri" w:cs="Calibri" w:eastAsia="Calibri"/>
          <w:color w:val="auto"/>
          <w:spacing w:val="0"/>
          <w:position w:val="0"/>
          <w:sz w:val="28"/>
          <w:shd w:fill="auto" w:val="clear"/>
        </w:rPr>
      </w:pPr>
    </w:p>
    <w:p>
      <w:pPr>
        <w:spacing w:before="0" w:after="200" w:line="36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Software Requirements</w:t>
      </w: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developing the application, the following are the Software Requirements:</w:t>
      </w:r>
    </w:p>
    <w:p>
      <w:pPr>
        <w:numPr>
          <w:ilvl w:val="0"/>
          <w:numId w:val="22"/>
        </w:numPr>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Python</w:t>
      </w:r>
    </w:p>
    <w:p>
      <w:pPr>
        <w:spacing w:before="0" w:after="200" w:line="36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Operating Systems supported</w:t>
      </w:r>
    </w:p>
    <w:p>
      <w:pPr>
        <w:numPr>
          <w:ilvl w:val="0"/>
          <w:numId w:val="24"/>
        </w:numPr>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Windows 10 64-bit O S</w:t>
      </w:r>
    </w:p>
    <w:p>
      <w:pPr>
        <w:spacing w:before="0" w:after="200" w:line="36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Technologies and Languages used to Develop</w:t>
      </w:r>
    </w:p>
    <w:p>
      <w:pPr>
        <w:numPr>
          <w:ilvl w:val="0"/>
          <w:numId w:val="26"/>
        </w:numPr>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Python</w:t>
      </w:r>
    </w:p>
    <w:p>
      <w:pPr>
        <w:spacing w:before="0" w:after="200" w:line="36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Debugger and Emulator</w:t>
      </w:r>
    </w:p>
    <w:p>
      <w:pPr>
        <w:numPr>
          <w:ilvl w:val="0"/>
          <w:numId w:val="28"/>
        </w:numPr>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Any Browser (Particularly Chrome)</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Hardware Requirements</w:t>
      </w: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developing the application, the following are the Hardware Requirements:</w:t>
      </w:r>
    </w:p>
    <w:p>
      <w:pPr>
        <w:numPr>
          <w:ilvl w:val="0"/>
          <w:numId w:val="32"/>
        </w:numPr>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Processor: Intel i7</w:t>
      </w:r>
    </w:p>
    <w:p>
      <w:pPr>
        <w:numPr>
          <w:ilvl w:val="0"/>
          <w:numId w:val="32"/>
        </w:numPr>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RAM: 16 GB</w:t>
      </w:r>
    </w:p>
    <w:p>
      <w:pPr>
        <w:numPr>
          <w:ilvl w:val="0"/>
          <w:numId w:val="32"/>
        </w:numPr>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Space on Hard Disk: 512 GB S.S.D</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FEASIBILTY REPORT</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purpose of this feasibility report is to assess the viability of implementing probabilistic deep learning methods for license plate recognition based on the data presented in the PDF file "Benchmarking Probabilistic Deep Learning Methods for License Plate Recognition."</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Technical Feasibility</w:t>
      </w: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Availability: </w:t>
      </w:r>
      <w:r>
        <w:rPr>
          <w:rFonts w:ascii="Calibri" w:hAnsi="Calibri" w:cs="Calibri" w:eastAsia="Calibri"/>
          <w:color w:val="auto"/>
          <w:spacing w:val="0"/>
          <w:position w:val="0"/>
          <w:sz w:val="32"/>
          <w:shd w:fill="auto" w:val="clear"/>
        </w:rPr>
        <w:t xml:space="preserve">The availability of synthetic datasets and real-world datasets such as the CCPD dataset, DS-FULL dataset, and DS-HARD dataset provides a strong foundation for technical feasibility.</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Model Implementation:</w:t>
      </w:r>
      <w:r>
        <w:rPr>
          <w:rFonts w:ascii="Calibri" w:hAnsi="Calibri" w:cs="Calibri" w:eastAsia="Calibri"/>
          <w:color w:val="auto"/>
          <w:spacing w:val="0"/>
          <w:position w:val="0"/>
          <w:sz w:val="32"/>
          <w:shd w:fill="auto" w:val="clear"/>
        </w:rPr>
        <w:t xml:space="preserve"> The implementation of probabilistic deep learning methods, including Monte Carlo dropout, deep ensembles, and Batch Ensemble, is technically feasible using frameworks such as TensorFlow and scikit-learn.</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Economic Feasibility</w:t>
      </w: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Resource Requirements:</w:t>
      </w:r>
      <w:r>
        <w:rPr>
          <w:rFonts w:ascii="Calibri" w:hAnsi="Calibri" w:cs="Calibri" w:eastAsia="Calibri"/>
          <w:color w:val="auto"/>
          <w:spacing w:val="0"/>
          <w:position w:val="0"/>
          <w:sz w:val="32"/>
          <w:shd w:fill="auto" w:val="clear"/>
        </w:rPr>
        <w:t xml:space="preserve"> The project requires computational resources for training the models, such as a NVIDIA GeForce RTX 2080. The cost of these resources should be considered.</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Acquisition:</w:t>
      </w:r>
      <w:r>
        <w:rPr>
          <w:rFonts w:ascii="Calibri" w:hAnsi="Calibri" w:cs="Calibri" w:eastAsia="Calibri"/>
          <w:color w:val="auto"/>
          <w:spacing w:val="0"/>
          <w:position w:val="0"/>
          <w:sz w:val="32"/>
          <w:shd w:fill="auto" w:val="clear"/>
        </w:rPr>
        <w:t xml:space="preserve"> The cost associated with acquiring or generating high-quality datasets for training and evaluation should be evaluated.</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Operational Feasibility</w:t>
      </w: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Model Training and Testing:</w:t>
      </w:r>
      <w:r>
        <w:rPr>
          <w:rFonts w:ascii="Calibri" w:hAnsi="Calibri" w:cs="Calibri" w:eastAsia="Calibri"/>
          <w:color w:val="auto"/>
          <w:spacing w:val="0"/>
          <w:position w:val="0"/>
          <w:sz w:val="32"/>
          <w:shd w:fill="auto" w:val="clear"/>
        </w:rPr>
        <w:t xml:space="preserve"> The process of training and testing the models using the available datasets is operationally feasible, given the documented experimental setup and methodologies.</w:t>
      </w:r>
    </w:p>
    <w:p>
      <w:pPr>
        <w:spacing w:before="0" w:after="200" w:line="360"/>
        <w:ind w:right="0" w:left="0" w:firstLine="0"/>
        <w:jc w:val="left"/>
        <w:rPr>
          <w:rFonts w:ascii="Calibri" w:hAnsi="Calibri" w:cs="Calibri" w:eastAsia="Calibri"/>
          <w:color w:val="auto"/>
          <w:spacing w:val="0"/>
          <w:position w:val="0"/>
          <w:sz w:val="32"/>
          <w:shd w:fill="auto" w:val="clear"/>
        </w:rPr>
      </w:pP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Preprocessing:</w:t>
      </w:r>
      <w:r>
        <w:rPr>
          <w:rFonts w:ascii="Calibri" w:hAnsi="Calibri" w:cs="Calibri" w:eastAsia="Calibri"/>
          <w:color w:val="auto"/>
          <w:spacing w:val="0"/>
          <w:position w:val="0"/>
          <w:sz w:val="32"/>
          <w:shd w:fill="auto" w:val="clear"/>
        </w:rPr>
        <w:t xml:space="preserve"> The feasibility of data preprocessing, including normalization and augmentation, should be considered in the operational context.</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Legal and Ethical Feasibility</w:t>
      </w: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Privacy and Compliance:</w:t>
      </w:r>
      <w:r>
        <w:rPr>
          <w:rFonts w:ascii="Calibri" w:hAnsi="Calibri" w:cs="Calibri" w:eastAsia="Calibri"/>
          <w:color w:val="auto"/>
          <w:spacing w:val="0"/>
          <w:position w:val="0"/>
          <w:sz w:val="32"/>
          <w:shd w:fill="auto" w:val="clear"/>
        </w:rPr>
        <w:t xml:space="preserve"> Ensuring compliance with data privacy regulations and ethical considerations when using real-world datasets is essential for legal and ethical feasibility.</w:t>
      </w:r>
    </w:p>
    <w:p>
      <w:pPr>
        <w:spacing w:before="0" w:after="200" w:line="360"/>
        <w:ind w:right="0" w:left="0" w:firstLine="0"/>
        <w:jc w:val="left"/>
        <w:rPr>
          <w:rFonts w:ascii="Calibri" w:hAnsi="Calibri" w:cs="Calibri" w:eastAsia="Calibri"/>
          <w:color w:val="auto"/>
          <w:spacing w:val="0"/>
          <w:position w:val="0"/>
          <w:sz w:val="32"/>
          <w:shd w:fill="auto" w:val="clear"/>
        </w:rPr>
      </w:pPr>
    </w:p>
    <w:p>
      <w:pPr>
        <w:spacing w:before="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Intellectual Property:</w:t>
      </w:r>
      <w:r>
        <w:rPr>
          <w:rFonts w:ascii="Calibri" w:hAnsi="Calibri" w:cs="Calibri" w:eastAsia="Calibri"/>
          <w:color w:val="auto"/>
          <w:spacing w:val="0"/>
          <w:position w:val="0"/>
          <w:sz w:val="32"/>
          <w:shd w:fill="auto" w:val="clear"/>
        </w:rPr>
        <w:t xml:space="preserve"> Consideration of intellectual property rights related to the datasets and models used in the project is crucial.</w:t>
      </w:r>
    </w:p>
    <w:p>
      <w:pPr>
        <w:spacing w:before="0" w:after="200" w:line="360"/>
        <w:ind w:right="0" w:left="0" w:firstLine="0"/>
        <w:jc w:val="left"/>
        <w:rPr>
          <w:rFonts w:ascii="Calibri" w:hAnsi="Calibri" w:cs="Calibri" w:eastAsia="Calibri"/>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Conclusion</w:t>
      </w: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Based on the technical, economic, operational, legal, and ethical considerations, the implementation of probabilistic deep learning methods for license plate recognition appears to be feasible. However, careful attention to resource allocation, data privacy, and compliance with legal and ethical standards is necessary for successful implementation.</w:t>
      </w:r>
    </w:p>
    <w:p>
      <w:pPr>
        <w:spacing w:before="0" w:after="200" w:line="360"/>
        <w:ind w:right="0" w:left="0" w:firstLine="0"/>
        <w:jc w:val="left"/>
        <w:rPr>
          <w:rFonts w:ascii="Calibri" w:hAnsi="Calibri" w:cs="Calibri" w:eastAsia="Calibri"/>
          <w:color w:val="auto"/>
          <w:spacing w:val="0"/>
          <w:position w:val="0"/>
          <w:sz w:val="32"/>
          <w:shd w:fill="auto" w:val="clear"/>
        </w:rPr>
      </w:pPr>
    </w:p>
    <w:p>
      <w:pPr>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feasibility report provides an initial assessment of the project's viability and serves as a basis for further planning and decision-making.</w:t>
      </w:r>
    </w:p>
    <w:p>
      <w:pPr>
        <w:spacing w:before="100" w:after="10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REFERENCES</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p>
    <w:p>
      <w:pPr>
        <w:numPr>
          <w:ilvl w:val="0"/>
          <w:numId w:val="38"/>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Simple and scalable predictive uncertainty estimation using deep ensembles:</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Deep ensembles are a way of measuring the uncertainty of predictions made by neural networks. They can be useful for license plate recognition, especially when the images are noisy, blurred, or low-resolution. According to </w:t>
      </w:r>
      <w:hyperlink xmlns:r="http://schemas.openxmlformats.org/officeDocument/2006/relationships" r:id="docRId0">
        <w:r>
          <w:rPr>
            <w:rFonts w:ascii="Calibri" w:hAnsi="Calibri" w:cs="Calibri" w:eastAsia="Calibri"/>
            <w:color w:val="0000FF"/>
            <w:spacing w:val="0"/>
            <w:position w:val="0"/>
            <w:sz w:val="32"/>
            <w:u w:val="single"/>
            <w:shd w:fill="auto" w:val="clear"/>
          </w:rPr>
          <w:t xml:space="preserve">this paper</w:t>
        </w:r>
      </w:hyperlink>
      <w:r>
        <w:rPr>
          <w:rFonts w:ascii="Calibri" w:hAnsi="Calibri" w:cs="Calibri" w:eastAsia="Calibri"/>
          <w:color w:val="auto"/>
          <w:spacing w:val="0"/>
          <w:position w:val="0"/>
          <w:sz w:val="32"/>
          <w:shd w:fill="auto" w:val="clear"/>
        </w:rPr>
        <w:t xml:space="preserve">, deep ensembles can improve the recognition performance and the detection of wrong predictions by using multiple neural networks trained on different subsets of the data or with different initializations. This paper also shows that combining classification and super-resolution in a multi-task learning framework can further enhance the results.</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proposed by B. Lakshminarayanan, A. Pritzel, and C. Blundell, in Advances in Neural Information Processing Systems 30: Annual Conference on Neural Information Processing Systems 2017, December 4-9, 2017, Long Beach, CA, USA, I. Guyon, U. von Luxburg, S. Bengio, H. M. Wallach, R. Fergus, S. V. N. Vishwanathan, and R. Garnett, Eds., 2017, pp. 6402</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6413.</w:t>
      </w:r>
    </w:p>
    <w:p>
      <w:pPr>
        <w:spacing w:before="0" w:after="160" w:line="259"/>
        <w:ind w:right="0" w:left="720" w:firstLine="0"/>
        <w:jc w:val="left"/>
        <w:rPr>
          <w:rFonts w:ascii="Calibri" w:hAnsi="Calibri" w:cs="Calibri" w:eastAsia="Calibri"/>
          <w:color w:val="auto"/>
          <w:spacing w:val="0"/>
          <w:position w:val="0"/>
          <w:sz w:val="32"/>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Batch ensemble: an alternative approach to efficient ensemble and lifelong learning</w:t>
      </w:r>
      <w:r>
        <w:rPr>
          <w:rFonts w:ascii="Calibri" w:hAnsi="Calibri" w:cs="Calibri" w:eastAsia="Calibri"/>
          <w:color w:val="auto"/>
          <w:spacing w:val="0"/>
          <w:position w:val="0"/>
          <w:sz w:val="36"/>
          <w:u w:val="single"/>
          <w:shd w:fill="auto" w:val="clear"/>
        </w:rPr>
        <w:t xml:space="preserve">:</w:t>
      </w:r>
    </w:p>
    <w:p>
      <w:pPr>
        <w:spacing w:before="0" w:after="160" w:line="259"/>
        <w:ind w:right="0" w:left="720" w:firstLine="0"/>
        <w:jc w:val="left"/>
        <w:rPr>
          <w:rFonts w:ascii="Calibri" w:hAnsi="Calibri" w:cs="Calibri" w:eastAsia="Calibri"/>
          <w:color w:val="auto"/>
          <w:spacing w:val="0"/>
          <w:position w:val="0"/>
          <w:sz w:val="32"/>
          <w:shd w:fill="auto" w:val="clear"/>
        </w:rPr>
      </w:pPr>
      <w:hyperlink xmlns:r="http://schemas.openxmlformats.org/officeDocument/2006/relationships" r:id="docRId1">
        <w:r>
          <w:rPr>
            <w:rFonts w:ascii="Calibri" w:hAnsi="Calibri" w:cs="Calibri" w:eastAsia="Calibri"/>
            <w:color w:val="0000FF"/>
            <w:spacing w:val="0"/>
            <w:position w:val="0"/>
            <w:sz w:val="32"/>
            <w:u w:val="single"/>
            <w:shd w:fill="auto" w:val="clear"/>
          </w:rPr>
          <w:t xml:space="preserve">Batch ensembles are a variant of deep ensembles that use different subsets of the network parameters for each training batch</w:t>
        </w:r>
      </w:hyperlink>
      <w:r>
        <w:rPr>
          <w:rFonts w:ascii="Calibri" w:hAnsi="Calibri" w:cs="Calibri" w:eastAsia="Calibri"/>
          <w:color w:val="auto"/>
          <w:spacing w:val="0"/>
          <w:position w:val="0"/>
          <w:sz w:val="32"/>
          <w:shd w:fill="auto" w:val="clear"/>
        </w:rPr>
        <w:t xml:space="preserve">. </w:t>
      </w:r>
      <w:hyperlink xmlns:r="http://schemas.openxmlformats.org/officeDocument/2006/relationships" r:id="docRId2">
        <w:r>
          <w:rPr>
            <w:rFonts w:ascii="Calibri" w:hAnsi="Calibri" w:cs="Calibri" w:eastAsia="Calibri"/>
            <w:color w:val="0000FF"/>
            <w:spacing w:val="0"/>
            <w:position w:val="0"/>
            <w:sz w:val="32"/>
            <w:u w:val="single"/>
            <w:shd w:fill="auto" w:val="clear"/>
          </w:rPr>
          <w:t xml:space="preserve">This reduces the memory and computational cost of training multiple </w:t>
        </w:r>
        <w:r>
          <w:rPr>
            <w:rFonts w:ascii="Calibri" w:hAnsi="Calibri" w:cs="Calibri" w:eastAsia="Calibri"/>
            <w:color w:val="0000FF"/>
            <w:spacing w:val="0"/>
            <w:position w:val="0"/>
            <w:sz w:val="32"/>
            <w:u w:val="single"/>
            <w:shd w:fill="auto" w:val="clear"/>
          </w:rPr>
          <w:t xml:space="preserve"> HYPERLINK "https://ieeexplore.ieee.org/document/10143386"</w:t>
        </w:r>
        <w:r>
          <w:rPr>
            <w:rFonts w:ascii="Calibri" w:hAnsi="Calibri" w:cs="Calibri" w:eastAsia="Calibri"/>
            <w:color w:val="0000FF"/>
            <w:spacing w:val="0"/>
            <w:position w:val="0"/>
            <w:sz w:val="32"/>
            <w:u w:val="single"/>
            <w:shd w:fill="auto" w:val="clear"/>
          </w:rPr>
          <w:t xml:space="preserve">models, while still providing a measure of uncertainty for the predictions</w:t>
        </w:r>
      </w:hyperlink>
      <w:r>
        <w:rPr>
          <w:rFonts w:ascii="Calibri" w:hAnsi="Calibri" w:cs="Calibri" w:eastAsia="Calibri"/>
          <w:color w:val="000000"/>
          <w:spacing w:val="0"/>
          <w:position w:val="0"/>
          <w:sz w:val="32"/>
          <w:shd w:fill="auto" w:val="clear"/>
        </w:rPr>
        <w:t xml:space="preserve">. Batch ensembles can be applied to license plate recognition using probabilistic deep learning, as shown in </w:t>
      </w:r>
      <w:hyperlink xmlns:r="http://schemas.openxmlformats.org/officeDocument/2006/relationships" r:id="docRId3">
        <w:r>
          <w:rPr>
            <w:rFonts w:ascii="Calibri" w:hAnsi="Calibri" w:cs="Calibri" w:eastAsia="Calibri"/>
            <w:color w:val="0000FF"/>
            <w:spacing w:val="0"/>
            <w:position w:val="0"/>
            <w:sz w:val="32"/>
            <w:u w:val="single"/>
            <w:shd w:fill="auto" w:val="clear"/>
          </w:rPr>
          <w:t xml:space="preserve">this paper</w:t>
        </w:r>
      </w:hyperlink>
      <w:r>
        <w:rPr>
          <w:rFonts w:ascii="Calibri" w:hAnsi="Calibri" w:cs="Calibri" w:eastAsia="Calibri"/>
          <w:color w:val="000000"/>
          <w:spacing w:val="0"/>
          <w:position w:val="0"/>
          <w:sz w:val="32"/>
          <w:shd w:fill="auto" w:val="clear"/>
        </w:rPr>
        <w:t xml:space="preserve">. The authors compare batch ensembles with deep ensembles and Monte Carlo dropout on two architectures for license plate recognition. </w:t>
      </w:r>
      <w:hyperlink xmlns:r="http://schemas.openxmlformats.org/officeDocument/2006/relationships" r:id="docRId4">
        <w:r>
          <w:rPr>
            <w:rFonts w:ascii="Calibri" w:hAnsi="Calibri" w:cs="Calibri" w:eastAsia="Calibri"/>
            <w:color w:val="0000FF"/>
            <w:spacing w:val="0"/>
            <w:position w:val="0"/>
            <w:sz w:val="32"/>
            <w:u w:val="single"/>
            <w:shd w:fill="auto" w:val="clear"/>
          </w:rPr>
          <w:t xml:space="preserve">They find that batch ensembles perform better than Monte Carlo dropout and are comparable to deep ensembles in terms of accuracy, uncertainty, and out-of-distribution robustness</w:t>
        </w:r>
      </w:hyperlink>
      <w:r>
        <w:rPr>
          <w:rFonts w:ascii="Calibri" w:hAnsi="Calibri" w:cs="Calibri" w:eastAsia="Calibri"/>
          <w:color w:val="auto"/>
          <w:spacing w:val="0"/>
          <w:position w:val="0"/>
          <w:sz w:val="32"/>
          <w:shd w:fill="auto" w:val="clear"/>
        </w:rPr>
        <w:t xml:space="preserve">.</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It is proposed by Y. Wen, D. Tran, and J. Ba, at International Conference on Learning Representations, 2020.</w:t>
      </w:r>
    </w:p>
    <w:p>
      <w:pPr>
        <w:spacing w:before="0" w:after="160" w:line="259"/>
        <w:ind w:right="0" w:left="720" w:firstLine="0"/>
        <w:jc w:val="left"/>
        <w:rPr>
          <w:rFonts w:ascii="Calibri" w:hAnsi="Calibri" w:cs="Calibri" w:eastAsia="Calibri"/>
          <w:color w:val="auto"/>
          <w:spacing w:val="0"/>
          <w:position w:val="0"/>
          <w:sz w:val="32"/>
          <w:shd w:fill="auto" w:val="clear"/>
        </w:rPr>
      </w:pPr>
    </w:p>
    <w:p>
      <w:pPr>
        <w:numPr>
          <w:ilvl w:val="0"/>
          <w:numId w:val="42"/>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Dropout: a simple way to prevent neural networks from over-fitting: </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Monte Carlo dropout is a technique that allows neural networks to estimate the uncertainty of their predictions. It works by randomly dropping out some units or connections in the network during inference, and repeating this process multiple times. The resulting outputs can be used to compute the mean and variance of the prediction, which reflect the model’s confidence and uncertainty.</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hyperlink xmlns:r="http://schemas.openxmlformats.org/officeDocument/2006/relationships" r:id="docRId5">
        <w:r>
          <w:rPr>
            <w:rFonts w:ascii="Calibri" w:hAnsi="Calibri" w:cs="Calibri" w:eastAsia="Calibri"/>
            <w:color w:val="0000FF"/>
            <w:spacing w:val="0"/>
            <w:position w:val="0"/>
            <w:sz w:val="32"/>
            <w:u w:val="single"/>
            <w:shd w:fill="auto" w:val="clear"/>
          </w:rPr>
          <w:t xml:space="preserve">According to the web search results, Monte Carlo dropout has been applied to license plate recognition using probabilistic deep learning in a paper by Schirrmacher et al.</w:t>
        </w:r>
      </w:hyperlink>
      <w:r>
        <w:rPr>
          <w:rFonts w:ascii="Calibri" w:hAnsi="Calibri" w:cs="Calibri" w:eastAsia="Calibri"/>
          <w:color w:val="auto"/>
          <w:spacing w:val="0"/>
          <w:position w:val="0"/>
          <w:sz w:val="32"/>
          <w:shd w:fill="auto" w:val="clear"/>
        </w:rPr>
        <w:t xml:space="preserve">. They compared three methods for uncertainty quantification on two architectures, and showed that Monte Carlo dropout can reliably detect wrong predictions on out-of-distribution images, such as noisy or blurred low-resolution images. They also showed that combining classification and super-resolution in a multi-task framework can improve the recognition performance and the uncertainty estimation.</w:t>
      </w:r>
    </w:p>
    <w:p>
      <w:pPr>
        <w:spacing w:before="0" w:after="160" w:line="259"/>
        <w:ind w:right="0" w:left="720" w:firstLine="0"/>
        <w:jc w:val="left"/>
        <w:rPr>
          <w:rFonts w:ascii="Calibri" w:hAnsi="Calibri" w:cs="Calibri" w:eastAsia="Calibri"/>
          <w:color w:val="auto"/>
          <w:spacing w:val="0"/>
          <w:position w:val="0"/>
          <w:sz w:val="32"/>
          <w:u w:val="single"/>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 The journal of machine learning research, vol. 15, no. 1, 2014 proposed by Srivastava, G. Hinton, A. Krizhevsky, I. Sutskever, and R. Salakhutdinov, pp. 1929</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1958.</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scadia Mono" w:hAnsi="Cascadia Mono" w:cs="Cascadia Mono" w:eastAsia="Cascadia Mono"/>
          <w:b/>
          <w:color w:val="auto"/>
          <w:spacing w:val="0"/>
          <w:position w:val="0"/>
          <w:sz w:val="36"/>
          <w:shd w:fill="auto" w:val="clear"/>
        </w:rPr>
      </w:pPr>
      <w:r>
        <w:rPr>
          <w:rFonts w:ascii="Cascadia Mono" w:hAnsi="Cascadia Mono" w:cs="Cascadia Mono" w:eastAsia="Cascadia Mono"/>
          <w:b/>
          <w:color w:val="auto"/>
          <w:spacing w:val="0"/>
          <w:position w:val="0"/>
          <w:sz w:val="36"/>
          <w:shd w:fill="auto" w:val="clear"/>
        </w:rPr>
        <w:t xml:space="preserve">D.NAGA RAJENDRA</w:t>
        <w:tab/>
        <w:t xml:space="preserve">20N71A0518</w:t>
        <w:tab/>
        <w:tab/>
        <w:t xml:space="preserve">4</w:t>
      </w:r>
      <w:r>
        <w:rPr>
          <w:rFonts w:ascii="Cascadia Mono" w:hAnsi="Cascadia Mono" w:cs="Cascadia Mono" w:eastAsia="Cascadia Mono"/>
          <w:b/>
          <w:color w:val="auto"/>
          <w:spacing w:val="0"/>
          <w:position w:val="0"/>
          <w:sz w:val="36"/>
          <w:shd w:fill="auto" w:val="clear"/>
          <w:vertAlign w:val="superscript"/>
        </w:rPr>
        <w:t xml:space="preserve">TH</w:t>
      </w:r>
      <w:r>
        <w:rPr>
          <w:rFonts w:ascii="Cascadia Mono" w:hAnsi="Cascadia Mono" w:cs="Cascadia Mono" w:eastAsia="Cascadia Mono"/>
          <w:b/>
          <w:color w:val="auto"/>
          <w:spacing w:val="0"/>
          <w:position w:val="0"/>
          <w:sz w:val="36"/>
          <w:shd w:fill="auto" w:val="clear"/>
        </w:rPr>
        <w:t xml:space="preserve"> YEAR</w:t>
        <w:tab/>
        <w:t xml:space="preserve">CSE-A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7">
    <w:abstractNumId w:val="72"/>
  </w:num>
  <w:num w:numId="9">
    <w:abstractNumId w:val="66"/>
  </w:num>
  <w:num w:numId="12">
    <w:abstractNumId w:val="60"/>
  </w:num>
  <w:num w:numId="14">
    <w:abstractNumId w:val="54"/>
  </w:num>
  <w:num w:numId="18">
    <w:abstractNumId w:val="48"/>
  </w:num>
  <w:num w:numId="22">
    <w:abstractNumId w:val="42"/>
  </w:num>
  <w:num w:numId="24">
    <w:abstractNumId w:val="36"/>
  </w:num>
  <w:num w:numId="26">
    <w:abstractNumId w:val="30"/>
  </w:num>
  <w:num w:numId="28">
    <w:abstractNumId w:val="24"/>
  </w:num>
  <w:num w:numId="32">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eeexplore.ieee.org/document/10143386" Id="docRId1" Type="http://schemas.openxmlformats.org/officeDocument/2006/relationships/hyperlink" /><Relationship TargetMode="External" Target="https://arxiv.org/pdf/2302.01427v1" Id="docRId3" Type="http://schemas.openxmlformats.org/officeDocument/2006/relationships/hyperlink" /><Relationship TargetMode="External" Target="https://arxiv.org/pdf/2302.01427v1" Id="docRId5" Type="http://schemas.openxmlformats.org/officeDocument/2006/relationships/hyperlink" /><Relationship Target="styles.xml" Id="docRId7" Type="http://schemas.openxmlformats.org/officeDocument/2006/relationships/styles" /><Relationship TargetMode="External" Target="https://arxiv.org/pdf/2302.01427v1" Id="docRId0" Type="http://schemas.openxmlformats.org/officeDocument/2006/relationships/hyperlink" /><Relationship TargetMode="External" Target="https://ieeexplore.ieee.org/document/10143386" Id="docRId2" Type="http://schemas.openxmlformats.org/officeDocument/2006/relationships/hyperlink" /><Relationship TargetMode="External" Target="https://arxiv.org/pdf/2302.01427v1" Id="docRId4" Type="http://schemas.openxmlformats.org/officeDocument/2006/relationships/hyperlink" /><Relationship Target="numbering.xml" Id="docRId6" Type="http://schemas.openxmlformats.org/officeDocument/2006/relationships/numbering" /></Relationships>
</file>