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NGO Compliance Management System</w:t>
      </w:r>
    </w:p>
    <w:p>
      <w:pPr>
        <w:jc w:val="center"/>
      </w:pPr>
      <w:r>
        <w:rPr>
          <w:b/>
          <w:sz w:val="24"/>
        </w:rPr>
        <w:t>Detailed Requirement Analysis &amp; Product Requirements Reference</w:t>
      </w:r>
    </w:p>
    <w:p>
      <w:r>
        <w:t>Document purpose: This document is intended to be the primary business and functional reference for the Product Owner, Business Analyst, UX team, engineering team, QA team and solution architect. It is deliberately detailed so that the Product Owner can use it as an input to the System Design Document (SDD), architecture decisions, data model, API specification and implementation backlog.</w:t>
      </w:r>
    </w:p>
    <w:p>
      <w:r>
        <w:t>Scope: B2B SaaS platform for NGOs and professional organizations managing NGO compliance. Initial market focus: India. The platform is a compliance-management system; it is not itself a legal/tax authority and must not present legal guidance as guaranteed professional advice.</w:t>
      </w:r>
    </w:p>
    <w:p>
      <w:r>
        <w:t>Version: 1.0 • Status: Product Requirements Baseline • Prepared for system design handoff</w:t>
      </w:r>
    </w:p>
    <w:p>
      <w:pPr>
        <w:pStyle w:val="Heading1"/>
      </w:pPr>
      <w:r>
        <w:t>1. Executive Product Definition</w:t>
      </w:r>
    </w:p>
    <w:p>
      <w:r>
        <w:t>The product is a cloud-based, multi-tenant NGO Compliance Management SaaS that centralizes organization information, applicable compliance obligations, deadlines, documents, tasks, approvals, evidence, notifications, reporting and audit history. It should support both a single NGO and B2B users such as CA firms, compliance consultants and organizations managing multiple NGOs.</w:t>
      </w:r>
    </w:p>
    <w:p>
      <w:r>
        <w:t>Core value proposition: convert compliance management from spreadsheets, folders, email and messaging into a controlled lifecycle: identify → schedule → assign → prepare → collect evidence → review → approve → file → record proof → close → renew/roll forward.</w:t>
      </w:r>
    </w:p>
    <w:p>
      <w:pPr>
        <w:pStyle w:val="Heading2"/>
      </w:pPr>
      <w:r>
        <w:t>1.1 Product objectives</w:t>
      </w:r>
    </w:p>
    <w:p>
      <w:pPr>
        <w:pStyle w:val="ListBullet"/>
      </w:pPr>
      <w:r>
        <w:t>Reduce missed deadlines and expired registrations.</w:t>
      </w:r>
    </w:p>
    <w:p>
      <w:pPr>
        <w:pStyle w:val="ListBullet"/>
      </w:pPr>
      <w:r>
        <w:t>Provide a single source of truth for compliance status and evidence.</w:t>
      </w:r>
    </w:p>
    <w:p>
      <w:pPr>
        <w:pStyle w:val="ListBullet"/>
      </w:pPr>
      <w:r>
        <w:t>Make responsibility explicit through task ownership and escalation.</w:t>
      </w:r>
    </w:p>
    <w:p>
      <w:pPr>
        <w:pStyle w:val="ListBullet"/>
      </w:pPr>
      <w:r>
        <w:t>Improve audit readiness through traceability and document history.</w:t>
      </w:r>
    </w:p>
    <w:p>
      <w:pPr>
        <w:pStyle w:val="ListBullet"/>
      </w:pPr>
      <w:r>
        <w:t>Enable professional service providers to manage multiple NGO clients.</w:t>
      </w:r>
    </w:p>
    <w:p>
      <w:pPr>
        <w:pStyle w:val="ListBullet"/>
      </w:pPr>
      <w:r>
        <w:t>Provide a foundation for later automation and AI-assisted compliance intelligence.</w:t>
      </w:r>
    </w:p>
    <w:p>
      <w:pPr>
        <w:pStyle w:val="ListBullet"/>
      </w:pPr>
      <w:r>
        <w:t>Create a commercially viable multi-tenant SaaS with plan-based entitlements.</w:t>
      </w:r>
    </w:p>
    <w:p>
      <w:pPr>
        <w:pStyle w:val="Heading2"/>
      </w:pPr>
      <w:r>
        <w:t>1.2 Product boundaries</w:t>
      </w:r>
    </w:p>
    <w:p>
      <w:pPr>
        <w:pStyle w:val="ListBullet"/>
      </w:pPr>
      <w:r>
        <w:t>The system tracks and orchestrates compliance work; it does not replace a qualified CA, lawyer, auditor or official government portal.</w:t>
      </w:r>
    </w:p>
    <w:p>
      <w:pPr>
        <w:pStyle w:val="ListBullet"/>
      </w:pPr>
      <w:r>
        <w:t>Government filing integrations are optional future integrations and must only be implemented where official interfaces and permissions exist.</w:t>
      </w:r>
    </w:p>
    <w:p>
      <w:pPr>
        <w:pStyle w:val="ListBullet"/>
      </w:pPr>
      <w:r>
        <w:t>Legal/tax rules and due dates must be configuration-driven and versioned; they must never be hard-coded into UI logic.</w:t>
      </w:r>
    </w:p>
    <w:p>
      <w:pPr>
        <w:pStyle w:val="ListBullet"/>
      </w:pPr>
      <w:r>
        <w:t>AI outputs must be presented as assistance, with source/context and human review for consequential actions.</w:t>
      </w:r>
    </w:p>
    <w:p>
      <w:pPr>
        <w:pStyle w:val="Heading1"/>
      </w:pPr>
      <w:r>
        <w:t>2. Personas &amp;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Persona</w:t>
            </w:r>
          </w:p>
        </w:tc>
        <w:tc>
          <w:tcPr>
            <w:tcW w:type="dxa" w:w="3312"/>
            <w:vAlign w:val="center"/>
          </w:tcPr>
          <w:p>
            <w:r>
              <w:rPr>
                <w:b/>
              </w:rPr>
              <w:t>Primary goals</w:t>
            </w:r>
          </w:p>
        </w:tc>
        <w:tc>
          <w:tcPr>
            <w:tcW w:type="dxa" w:w="3312"/>
            <w:vAlign w:val="center"/>
          </w:tcPr>
          <w:p>
            <w:r>
              <w:rPr>
                <w:b/>
              </w:rPr>
              <w:t>Key permissions/use</w:t>
            </w:r>
          </w:p>
        </w:tc>
      </w:tr>
      <w:tr>
        <w:tc>
          <w:tcPr>
            <w:tcW w:type="dxa" w:w="3312"/>
            <w:vAlign w:val="top"/>
          </w:tcPr>
          <w:p>
            <w:r>
              <w:t>Super Admin</w:t>
            </w:r>
          </w:p>
        </w:tc>
        <w:tc>
          <w:tcPr>
            <w:tcW w:type="dxa" w:w="3312"/>
            <w:vAlign w:val="top"/>
          </w:tcPr>
          <w:p>
            <w:r>
              <w:t>Operate SaaS</w:t>
            </w:r>
          </w:p>
        </w:tc>
        <w:tc>
          <w:tcPr>
            <w:tcW w:type="dxa" w:w="3312"/>
            <w:vAlign w:val="top"/>
          </w:tcPr>
          <w:p>
            <w:r>
              <w:t>Tenant provisioning, plans, platform configuration, support</w:t>
            </w:r>
          </w:p>
        </w:tc>
      </w:tr>
      <w:tr>
        <w:tc>
          <w:tcPr>
            <w:tcW w:type="dxa" w:w="3312"/>
            <w:vAlign w:val="top"/>
          </w:tcPr>
          <w:p>
            <w:r>
              <w:t>NGO Admin</w:t>
            </w:r>
          </w:p>
        </w:tc>
        <w:tc>
          <w:tcPr>
            <w:tcW w:type="dxa" w:w="3312"/>
            <w:vAlign w:val="top"/>
          </w:tcPr>
          <w:p>
            <w:r>
              <w:t>Control organization</w:t>
            </w:r>
          </w:p>
        </w:tc>
        <w:tc>
          <w:tcPr>
            <w:tcW w:type="dxa" w:w="3312"/>
            <w:vAlign w:val="top"/>
          </w:tcPr>
          <w:p>
            <w:r>
              <w:t>Organization data, users, settings, all operational records</w:t>
            </w:r>
          </w:p>
        </w:tc>
      </w:tr>
      <w:tr>
        <w:tc>
          <w:tcPr>
            <w:tcW w:type="dxa" w:w="3312"/>
            <w:vAlign w:val="top"/>
          </w:tcPr>
          <w:p>
            <w:r>
              <w:t>Compliance Officer</w:t>
            </w:r>
          </w:p>
        </w:tc>
        <w:tc>
          <w:tcPr>
            <w:tcW w:type="dxa" w:w="3312"/>
            <w:vAlign w:val="top"/>
          </w:tcPr>
          <w:p>
            <w:r>
              <w:t>Run compliance calendar</w:t>
            </w:r>
          </w:p>
        </w:tc>
        <w:tc>
          <w:tcPr>
            <w:tcW w:type="dxa" w:w="3312"/>
            <w:vAlign w:val="top"/>
          </w:tcPr>
          <w:p>
            <w:r>
              <w:t>Create/track obligations, assign tasks, review evidence</w:t>
            </w:r>
          </w:p>
        </w:tc>
      </w:tr>
      <w:tr>
        <w:tc>
          <w:tcPr>
            <w:tcW w:type="dxa" w:w="3312"/>
            <w:vAlign w:val="top"/>
          </w:tcPr>
          <w:p>
            <w:r>
              <w:t>Accountant</w:t>
            </w:r>
          </w:p>
        </w:tc>
        <w:tc>
          <w:tcPr>
            <w:tcW w:type="dxa" w:w="3312"/>
            <w:vAlign w:val="top"/>
          </w:tcPr>
          <w:p>
            <w:r>
              <w:t>Prepare financial/tax work</w:t>
            </w:r>
          </w:p>
        </w:tc>
        <w:tc>
          <w:tcPr>
            <w:tcW w:type="dxa" w:w="3312"/>
            <w:vAlign w:val="top"/>
          </w:tcPr>
          <w:p>
            <w:r>
              <w:t>Assigned compliance, documents, financial evidence, submissions</w:t>
            </w:r>
          </w:p>
        </w:tc>
      </w:tr>
      <w:tr>
        <w:tc>
          <w:tcPr>
            <w:tcW w:type="dxa" w:w="3312"/>
            <w:vAlign w:val="top"/>
          </w:tcPr>
          <w:p>
            <w:r>
              <w:t>Auditor</w:t>
            </w:r>
          </w:p>
        </w:tc>
        <w:tc>
          <w:tcPr>
            <w:tcW w:type="dxa" w:w="3312"/>
            <w:vAlign w:val="top"/>
          </w:tcPr>
          <w:p>
            <w:r>
              <w:t>Review evidence</w:t>
            </w:r>
          </w:p>
        </w:tc>
        <w:tc>
          <w:tcPr>
            <w:tcW w:type="dxa" w:w="3312"/>
            <w:vAlign w:val="top"/>
          </w:tcPr>
          <w:p>
            <w:r>
              <w:t>Read/review selected records, request corrections, audit trail</w:t>
            </w:r>
          </w:p>
        </w:tc>
      </w:tr>
      <w:tr>
        <w:tc>
          <w:tcPr>
            <w:tcW w:type="dxa" w:w="3312"/>
            <w:vAlign w:val="top"/>
          </w:tcPr>
          <w:p>
            <w:r>
              <w:t>Consultant / CA</w:t>
            </w:r>
          </w:p>
        </w:tc>
        <w:tc>
          <w:tcPr>
            <w:tcW w:type="dxa" w:w="3312"/>
            <w:vAlign w:val="top"/>
          </w:tcPr>
          <w:p>
            <w:r>
              <w:t>Manage client portfolio</w:t>
            </w:r>
          </w:p>
        </w:tc>
        <w:tc>
          <w:tcPr>
            <w:tcW w:type="dxa" w:w="3312"/>
            <w:vAlign w:val="top"/>
          </w:tcPr>
          <w:p>
            <w:r>
              <w:t>Multiple organizations, cross-client dashboard, client collaboration</w:t>
            </w:r>
          </w:p>
        </w:tc>
      </w:tr>
      <w:tr>
        <w:tc>
          <w:tcPr>
            <w:tcW w:type="dxa" w:w="3312"/>
            <w:vAlign w:val="top"/>
          </w:tcPr>
          <w:p>
            <w:r>
              <w:t>Management / Trustee</w:t>
            </w:r>
          </w:p>
        </w:tc>
        <w:tc>
          <w:tcPr>
            <w:tcW w:type="dxa" w:w="3312"/>
            <w:vAlign w:val="top"/>
          </w:tcPr>
          <w:p>
            <w:r>
              <w:t>Monitor risk</w:t>
            </w:r>
          </w:p>
        </w:tc>
        <w:tc>
          <w:tcPr>
            <w:tcW w:type="dxa" w:w="3312"/>
            <w:vAlign w:val="top"/>
          </w:tcPr>
          <w:p>
            <w:r>
              <w:t>Dashboard, reports, approvals, read access</w:t>
            </w:r>
          </w:p>
        </w:tc>
      </w:tr>
      <w:tr>
        <w:tc>
          <w:tcPr>
            <w:tcW w:type="dxa" w:w="3312"/>
            <w:vAlign w:val="top"/>
          </w:tcPr>
          <w:p>
            <w:r>
              <w:t>Viewer</w:t>
            </w:r>
          </w:p>
        </w:tc>
        <w:tc>
          <w:tcPr>
            <w:tcW w:type="dxa" w:w="3312"/>
            <w:vAlign w:val="top"/>
          </w:tcPr>
          <w:p>
            <w:r>
              <w:t>Read-only access</w:t>
            </w:r>
          </w:p>
        </w:tc>
        <w:tc>
          <w:tcPr>
            <w:tcW w:type="dxa" w:w="3312"/>
            <w:vAlign w:val="top"/>
          </w:tcPr>
          <w:p>
            <w:r>
              <w:t>Approved records and reports only</w:t>
            </w:r>
          </w:p>
        </w:tc>
      </w:tr>
      <w:tr>
        <w:tc>
          <w:tcPr>
            <w:tcW w:type="dxa" w:w="3312"/>
            <w:vAlign w:val="top"/>
          </w:tcPr>
          <w:p>
            <w:r>
              <w:t>Product Owner</w:t>
            </w:r>
          </w:p>
        </w:tc>
        <w:tc>
          <w:tcPr>
            <w:tcW w:type="dxa" w:w="3312"/>
            <w:vAlign w:val="top"/>
          </w:tcPr>
          <w:p>
            <w:r>
              <w:t>Define product behavior</w:t>
            </w:r>
          </w:p>
        </w:tc>
        <w:tc>
          <w:tcPr>
            <w:tcW w:type="dxa" w:w="3312"/>
            <w:vAlign w:val="top"/>
          </w:tcPr>
          <w:p>
            <w:r>
              <w:t>Requirements, priorities, acceptance criteria</w:t>
            </w:r>
          </w:p>
        </w:tc>
      </w:tr>
      <w:tr>
        <w:tc>
          <w:tcPr>
            <w:tcW w:type="dxa" w:w="3312"/>
            <w:vAlign w:val="top"/>
          </w:tcPr>
          <w:p>
            <w:r>
              <w:t>System Administrator</w:t>
            </w:r>
          </w:p>
        </w:tc>
        <w:tc>
          <w:tcPr>
            <w:tcW w:type="dxa" w:w="3312"/>
            <w:vAlign w:val="top"/>
          </w:tcPr>
          <w:p>
            <w:r>
              <w:t>Operate infrastructure</w:t>
            </w:r>
          </w:p>
        </w:tc>
        <w:tc>
          <w:tcPr>
            <w:tcW w:type="dxa" w:w="3312"/>
            <w:vAlign w:val="top"/>
          </w:tcPr>
          <w:p>
            <w:r>
              <w:t>Technical administration, monitoring and security</w:t>
            </w:r>
          </w:p>
        </w:tc>
      </w:tr>
    </w:tbl>
    <w:p>
      <w:pPr>
        <w:pStyle w:val="Heading2"/>
      </w:pPr>
      <w:r>
        <w:t>2.1 Permission principles</w:t>
      </w:r>
    </w:p>
    <w:p>
      <w:pPr>
        <w:pStyle w:val="ListBullet"/>
      </w:pPr>
      <w:r>
        <w:t>Default deny: a user sees only tenants, modules and records explicitly authorized.</w:t>
      </w:r>
    </w:p>
    <w:p>
      <w:pPr>
        <w:pStyle w:val="ListBullet"/>
      </w:pPr>
      <w:r>
        <w:t>Tenant isolation is mandatory at every data access boundary.</w:t>
      </w:r>
    </w:p>
    <w:p>
      <w:pPr>
        <w:pStyle w:val="ListBullet"/>
      </w:pPr>
      <w:r>
        <w:t>High-risk actions such as deleting evidence, changing compliance rules or approving submissions require elevated permission.</w:t>
      </w:r>
    </w:p>
    <w:p>
      <w:pPr>
        <w:pStyle w:val="ListBullet"/>
      </w:pPr>
      <w:r>
        <w:t>Every material state change must be auditable.</w:t>
      </w:r>
    </w:p>
    <w:p>
      <w:pPr>
        <w:pStyle w:val="ListBullet"/>
      </w:pPr>
      <w:r>
        <w:t>Access should support least privilege and separation of duties.</w:t>
      </w:r>
    </w:p>
    <w:p>
      <w:pPr>
        <w:pStyle w:val="Heading1"/>
      </w:pPr>
      <w:r>
        <w:t>3. Business Scope &amp; Use-Case Catalogue</w:t>
      </w:r>
    </w:p>
    <w:p>
      <w:pPr>
        <w:pStyle w:val="Heading2"/>
      </w:pPr>
      <w:r>
        <w:t>3.1 Must-have business capabilities</w:t>
      </w:r>
    </w:p>
    <w:p>
      <w:pPr>
        <w:pStyle w:val="ListBullet"/>
      </w:pPr>
      <w:r>
        <w:t>Organization onboarding and legal-entity profile</w:t>
      </w:r>
    </w:p>
    <w:p>
      <w:pPr>
        <w:pStyle w:val="ListBullet"/>
      </w:pPr>
      <w:r>
        <w:t>Trust/Society/Section 8 classification</w:t>
      </w:r>
    </w:p>
    <w:p>
      <w:pPr>
        <w:pStyle w:val="ListBullet"/>
      </w:pPr>
      <w:r>
        <w:t>PAN/TAN/GST/12A/12AB/80G/FCRA/CSR information tracking as applicable</w:t>
      </w:r>
    </w:p>
    <w:p>
      <w:pPr>
        <w:pStyle w:val="ListBullet"/>
      </w:pPr>
      <w:r>
        <w:t>Applicable-compliance catalogue and annual compliance plan</w:t>
      </w:r>
    </w:p>
    <w:p>
      <w:pPr>
        <w:pStyle w:val="ListBullet"/>
      </w:pPr>
      <w:r>
        <w:t>Compliance calendar and deadline tracking</w:t>
      </w:r>
    </w:p>
    <w:p>
      <w:pPr>
        <w:pStyle w:val="ListBullet"/>
      </w:pPr>
      <w:r>
        <w:t>Recurring compliance generation</w:t>
      </w:r>
    </w:p>
    <w:p>
      <w:pPr>
        <w:pStyle w:val="ListBullet"/>
      </w:pPr>
      <w:r>
        <w:t>Task assignment and status workflow</w:t>
      </w:r>
    </w:p>
    <w:p>
      <w:pPr>
        <w:pStyle w:val="ListBullet"/>
      </w:pPr>
      <w:r>
        <w:t>Document repository, versioning and expiry tracking</w:t>
      </w:r>
    </w:p>
    <w:p>
      <w:pPr>
        <w:pStyle w:val="ListBullet"/>
      </w:pPr>
      <w:r>
        <w:t>User/role/permission management</w:t>
      </w:r>
    </w:p>
    <w:p>
      <w:pPr>
        <w:pStyle w:val="ListBullet"/>
      </w:pPr>
      <w:r>
        <w:t>Notifications and reminders</w:t>
      </w:r>
    </w:p>
    <w:p>
      <w:pPr>
        <w:pStyle w:val="ListBullet"/>
      </w:pPr>
      <w:r>
        <w:t>Management dashboard and standard reports</w:t>
      </w:r>
    </w:p>
    <w:p>
      <w:pPr>
        <w:pStyle w:val="ListBullet"/>
      </w:pPr>
      <w:r>
        <w:t>Audit trail and activity history</w:t>
      </w:r>
    </w:p>
    <w:p>
      <w:pPr>
        <w:pStyle w:val="ListBullet"/>
      </w:pPr>
      <w:r>
        <w:t>Multi-organization capability for B2B/consultant accounts</w:t>
      </w:r>
    </w:p>
    <w:p>
      <w:pPr>
        <w:pStyle w:val="ListBullet"/>
      </w:pPr>
      <w:r>
        <w:t>Subscription/entitlement foundation</w:t>
      </w:r>
    </w:p>
    <w:p>
      <w:pPr>
        <w:pStyle w:val="Heading2"/>
      </w:pPr>
      <w:r>
        <w:t>3.2 Good-to-have capabilities</w:t>
      </w:r>
    </w:p>
    <w:p>
      <w:pPr>
        <w:pStyle w:val="ListBullet"/>
      </w:pPr>
      <w:r>
        <w:t>Configurable workflow builder</w:t>
      </w:r>
    </w:p>
    <w:p>
      <w:pPr>
        <w:pStyle w:val="ListBullet"/>
      </w:pPr>
      <w:r>
        <w:t>OCR and structured data extraction</w:t>
      </w:r>
    </w:p>
    <w:p>
      <w:pPr>
        <w:pStyle w:val="ListBullet"/>
      </w:pPr>
      <w:r>
        <w:t>WhatsApp and advanced email automation</w:t>
      </w:r>
    </w:p>
    <w:p>
      <w:pPr>
        <w:pStyle w:val="ListBullet"/>
      </w:pPr>
      <w:r>
        <w:t>Google Drive/OneDrive/Dropbox integration</w:t>
      </w:r>
    </w:p>
    <w:p>
      <w:pPr>
        <w:pStyle w:val="ListBullet"/>
      </w:pPr>
      <w:r>
        <w:t>Google/Outlook calendar synchronization</w:t>
      </w:r>
    </w:p>
    <w:p>
      <w:pPr>
        <w:pStyle w:val="ListBullet"/>
      </w:pPr>
      <w:r>
        <w:t>Digital signature integration</w:t>
      </w:r>
    </w:p>
    <w:p>
      <w:pPr>
        <w:pStyle w:val="ListBullet"/>
      </w:pPr>
      <w:r>
        <w:t>Bulk import/export</w:t>
      </w:r>
    </w:p>
    <w:p>
      <w:pPr>
        <w:pStyle w:val="ListBullet"/>
      </w:pPr>
      <w:r>
        <w:t>Advanced reports and custom dashboards</w:t>
      </w:r>
    </w:p>
    <w:p>
      <w:pPr>
        <w:pStyle w:val="ListBullet"/>
      </w:pPr>
      <w:r>
        <w:t>Client/consultant portal</w:t>
      </w:r>
    </w:p>
    <w:p>
      <w:pPr>
        <w:pStyle w:val="ListBullet"/>
      </w:pPr>
      <w:r>
        <w:t>Public/internal APIs for approved integrations</w:t>
      </w:r>
    </w:p>
    <w:p>
      <w:pPr>
        <w:pStyle w:val="Heading2"/>
      </w:pPr>
      <w:r>
        <w:t>3.3 Nice-to-have / differentiating capabilities</w:t>
      </w:r>
    </w:p>
    <w:p>
      <w:pPr>
        <w:pStyle w:val="ListBullet"/>
      </w:pPr>
      <w:r>
        <w:t>AI compliance assistant</w:t>
      </w:r>
    </w:p>
    <w:p>
      <w:pPr>
        <w:pStyle w:val="ListBullet"/>
      </w:pPr>
      <w:r>
        <w:t>AI document review and missing-evidence detection</w:t>
      </w:r>
    </w:p>
    <w:p>
      <w:pPr>
        <w:pStyle w:val="ListBullet"/>
      </w:pPr>
      <w:r>
        <w:t>AI document classification and summarization</w:t>
      </w:r>
    </w:p>
    <w:p>
      <w:pPr>
        <w:pStyle w:val="ListBullet"/>
      </w:pPr>
      <w:r>
        <w:t>Natural-language compliance search</w:t>
      </w:r>
    </w:p>
    <w:p>
      <w:pPr>
        <w:pStyle w:val="ListBullet"/>
      </w:pPr>
      <w:r>
        <w:t>Risk scoring and predictive alerts</w:t>
      </w:r>
    </w:p>
    <w:p>
      <w:pPr>
        <w:pStyle w:val="ListBullet"/>
      </w:pPr>
      <w:r>
        <w:t>RAG-based compliance knowledge assistant</w:t>
      </w:r>
    </w:p>
    <w:p>
      <w:pPr>
        <w:pStyle w:val="ListBullet"/>
      </w:pPr>
      <w:r>
        <w:t>Grant management</w:t>
      </w:r>
    </w:p>
    <w:p>
      <w:pPr>
        <w:pStyle w:val="ListBullet"/>
      </w:pPr>
      <w:r>
        <w:t>Donor management</w:t>
      </w:r>
    </w:p>
    <w:p>
      <w:pPr>
        <w:pStyle w:val="ListBullet"/>
      </w:pPr>
      <w:r>
        <w:t>CSR project management</w:t>
      </w:r>
    </w:p>
    <w:p>
      <w:pPr>
        <w:pStyle w:val="ListBullet"/>
      </w:pPr>
      <w:r>
        <w:t>Volunteer management</w:t>
      </w:r>
    </w:p>
    <w:p>
      <w:pPr>
        <w:pStyle w:val="ListBullet"/>
      </w:pPr>
      <w:r>
        <w:t>Mobile applications</w:t>
      </w:r>
    </w:p>
    <w:p>
      <w:pPr>
        <w:pStyle w:val="ListBullet"/>
      </w:pPr>
      <w:r>
        <w:t>Multi-language UI</w:t>
      </w:r>
    </w:p>
    <w:p>
      <w:pPr>
        <w:pStyle w:val="ListBullet"/>
      </w:pPr>
      <w:r>
        <w:t>White-label SaaS</w:t>
      </w:r>
    </w:p>
    <w:p>
      <w:pPr>
        <w:pStyle w:val="Heading1"/>
      </w:pPr>
      <w:r>
        <w:t>4. Compliance Domain Model</w:t>
      </w:r>
    </w:p>
    <w:p>
      <w:r>
        <w:t>The compliance engine is the heart of the product. The product should distinguish between a compliance requirement definition and an organization-specific compliance instance.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Concept</w:t>
            </w:r>
          </w:p>
        </w:tc>
        <w:tc>
          <w:tcPr>
            <w:tcW w:type="dxa" w:w="3312"/>
            <w:vAlign w:val="center"/>
          </w:tcPr>
          <w:p>
            <w:r>
              <w:rPr>
                <w:b/>
              </w:rPr>
              <w:t>Definition</w:t>
            </w:r>
          </w:p>
        </w:tc>
        <w:tc>
          <w:tcPr>
            <w:tcW w:type="dxa" w:w="3312"/>
            <w:vAlign w:val="center"/>
          </w:tcPr>
          <w:p>
            <w:r>
              <w:rPr>
                <w:b/>
              </w:rPr>
              <w:t>Example</w:t>
            </w:r>
          </w:p>
        </w:tc>
      </w:tr>
      <w:tr>
        <w:tc>
          <w:tcPr>
            <w:tcW w:type="dxa" w:w="3312"/>
            <w:vAlign w:val="top"/>
          </w:tcPr>
          <w:p>
            <w:r>
              <w:t>Compliance Definition</w:t>
            </w:r>
          </w:p>
        </w:tc>
        <w:tc>
          <w:tcPr>
            <w:tcW w:type="dxa" w:w="3312"/>
            <w:vAlign w:val="top"/>
          </w:tcPr>
          <w:p>
            <w:r>
              <w:t>Reusable rule/template describing an obligation</w:t>
            </w:r>
          </w:p>
        </w:tc>
        <w:tc>
          <w:tcPr>
            <w:tcW w:type="dxa" w:w="3312"/>
            <w:vAlign w:val="top"/>
          </w:tcPr>
          <w:p>
            <w:r>
              <w:t>FCRA annual return</w:t>
            </w:r>
          </w:p>
        </w:tc>
      </w:tr>
      <w:tr>
        <w:tc>
          <w:tcPr>
            <w:tcW w:type="dxa" w:w="3312"/>
            <w:vAlign w:val="top"/>
          </w:tcPr>
          <w:p>
            <w:r>
              <w:t>Applicability Rule</w:t>
            </w:r>
          </w:p>
        </w:tc>
        <w:tc>
          <w:tcPr>
            <w:tcW w:type="dxa" w:w="3312"/>
            <w:vAlign w:val="top"/>
          </w:tcPr>
          <w:p>
            <w:r>
              <w:t>Determines whether a definition applies</w:t>
            </w:r>
          </w:p>
        </w:tc>
        <w:tc>
          <w:tcPr>
            <w:tcW w:type="dxa" w:w="3312"/>
            <w:vAlign w:val="top"/>
          </w:tcPr>
          <w:p>
            <w:r>
              <w:t>Applicable when FCRA status is active</w:t>
            </w:r>
          </w:p>
        </w:tc>
      </w:tr>
      <w:tr>
        <w:tc>
          <w:tcPr>
            <w:tcW w:type="dxa" w:w="3312"/>
            <w:vAlign w:val="top"/>
          </w:tcPr>
          <w:p>
            <w:r>
              <w:t>Compliance Instance</w:t>
            </w:r>
          </w:p>
        </w:tc>
        <w:tc>
          <w:tcPr>
            <w:tcW w:type="dxa" w:w="3312"/>
            <w:vAlign w:val="top"/>
          </w:tcPr>
          <w:p>
            <w:r>
              <w:t>Organization-specific occurrence</w:t>
            </w:r>
          </w:p>
        </w:tc>
        <w:tc>
          <w:tcPr>
            <w:tcW w:type="dxa" w:w="3312"/>
            <w:vAlign w:val="top"/>
          </w:tcPr>
          <w:p>
            <w:r>
              <w:t>NGO ABC — FY 2026 FCRA return</w:t>
            </w:r>
          </w:p>
        </w:tc>
      </w:tr>
      <w:tr>
        <w:tc>
          <w:tcPr>
            <w:tcW w:type="dxa" w:w="3312"/>
            <w:vAlign w:val="top"/>
          </w:tcPr>
          <w:p>
            <w:r>
              <w:t>Deadline</w:t>
            </w:r>
          </w:p>
        </w:tc>
        <w:tc>
          <w:tcPr>
            <w:tcW w:type="dxa" w:w="3312"/>
            <w:vAlign w:val="top"/>
          </w:tcPr>
          <w:p>
            <w:r>
              <w:t>Date/time or rule-derived deadline</w:t>
            </w:r>
          </w:p>
        </w:tc>
        <w:tc>
          <w:tcPr>
            <w:tcW w:type="dxa" w:w="3312"/>
            <w:vAlign w:val="top"/>
          </w:tcPr>
          <w:p>
            <w:r>
              <w:t>Configured statutory due date</w:t>
            </w:r>
          </w:p>
        </w:tc>
      </w:tr>
      <w:tr>
        <w:tc>
          <w:tcPr>
            <w:tcW w:type="dxa" w:w="3312"/>
            <w:vAlign w:val="top"/>
          </w:tcPr>
          <w:p>
            <w:r>
              <w:t>Task</w:t>
            </w:r>
          </w:p>
        </w:tc>
        <w:tc>
          <w:tcPr>
            <w:tcW w:type="dxa" w:w="3312"/>
            <w:vAlign w:val="top"/>
          </w:tcPr>
          <w:p>
            <w:r>
              <w:t>Work item needed to complete instance</w:t>
            </w:r>
          </w:p>
        </w:tc>
        <w:tc>
          <w:tcPr>
            <w:tcW w:type="dxa" w:w="3312"/>
            <w:vAlign w:val="top"/>
          </w:tcPr>
          <w:p>
            <w:r>
              <w:t>Collect bank statement</w:t>
            </w:r>
          </w:p>
        </w:tc>
      </w:tr>
      <w:tr>
        <w:tc>
          <w:tcPr>
            <w:tcW w:type="dxa" w:w="3312"/>
            <w:vAlign w:val="top"/>
          </w:tcPr>
          <w:p>
            <w:r>
              <w:t>Evidence</w:t>
            </w:r>
          </w:p>
        </w:tc>
        <w:tc>
          <w:tcPr>
            <w:tcW w:type="dxa" w:w="3312"/>
            <w:vAlign w:val="top"/>
          </w:tcPr>
          <w:p>
            <w:r>
              <w:t>Document/record supporting completion</w:t>
            </w:r>
          </w:p>
        </w:tc>
        <w:tc>
          <w:tcPr>
            <w:tcW w:type="dxa" w:w="3312"/>
            <w:vAlign w:val="top"/>
          </w:tcPr>
          <w:p>
            <w:r>
              <w:t>Filed acknowledgement</w:t>
            </w:r>
          </w:p>
        </w:tc>
      </w:tr>
      <w:tr>
        <w:tc>
          <w:tcPr>
            <w:tcW w:type="dxa" w:w="3312"/>
            <w:vAlign w:val="top"/>
          </w:tcPr>
          <w:p>
            <w:r>
              <w:t>Submission</w:t>
            </w:r>
          </w:p>
        </w:tc>
        <w:tc>
          <w:tcPr>
            <w:tcW w:type="dxa" w:w="3312"/>
            <w:vAlign w:val="top"/>
          </w:tcPr>
          <w:p>
            <w:r>
              <w:t>Proof of filing/submission</w:t>
            </w:r>
          </w:p>
        </w:tc>
        <w:tc>
          <w:tcPr>
            <w:tcW w:type="dxa" w:w="3312"/>
            <w:vAlign w:val="top"/>
          </w:tcPr>
          <w:p>
            <w:r>
              <w:t>Acknowledgement number</w:t>
            </w:r>
          </w:p>
        </w:tc>
      </w:tr>
      <w:tr>
        <w:tc>
          <w:tcPr>
            <w:tcW w:type="dxa" w:w="3312"/>
            <w:vAlign w:val="top"/>
          </w:tcPr>
          <w:p>
            <w:r>
              <w:t>Renewal</w:t>
            </w:r>
          </w:p>
        </w:tc>
        <w:tc>
          <w:tcPr>
            <w:tcW w:type="dxa" w:w="3312"/>
            <w:vAlign w:val="top"/>
          </w:tcPr>
          <w:p>
            <w:r>
              <w:t>Next occurrence or validity event</w:t>
            </w:r>
          </w:p>
        </w:tc>
        <w:tc>
          <w:tcPr>
            <w:tcW w:type="dxa" w:w="3312"/>
            <w:vAlign w:val="top"/>
          </w:tcPr>
          <w:p>
            <w:r>
              <w:t>Next annual cycle</w:t>
            </w:r>
          </w:p>
        </w:tc>
      </w:tr>
      <w:tr>
        <w:tc>
          <w:tcPr>
            <w:tcW w:type="dxa" w:w="3312"/>
            <w:vAlign w:val="top"/>
          </w:tcPr>
          <w:p>
            <w:r>
              <w:t>Exception</w:t>
            </w:r>
          </w:p>
        </w:tc>
        <w:tc>
          <w:tcPr>
            <w:tcW w:type="dxa" w:w="3312"/>
            <w:vAlign w:val="top"/>
          </w:tcPr>
          <w:p>
            <w:r>
              <w:t>Reason an obligation is not applicable or delayed</w:t>
            </w:r>
          </w:p>
        </w:tc>
        <w:tc>
          <w:tcPr>
            <w:tcW w:type="dxa" w:w="3312"/>
            <w:vAlign w:val="top"/>
          </w:tcPr>
          <w:p>
            <w:r>
              <w:t>Exemption/extension</w:t>
            </w:r>
          </w:p>
        </w:tc>
      </w:tr>
    </w:tbl>
    <w:p>
      <w:pPr>
        <w:pStyle w:val="Heading2"/>
      </w:pPr>
      <w:r>
        <w:t>4.1 Initial compliance catalogue</w:t>
      </w:r>
    </w:p>
    <w:p>
      <w:pPr>
        <w:pStyle w:val="ListBullet"/>
      </w:pPr>
      <w:r>
        <w:t>Income tax return and related annual tax compliance</w:t>
      </w:r>
    </w:p>
    <w:p>
      <w:pPr>
        <w:pStyle w:val="ListBullet"/>
      </w:pPr>
      <w:r>
        <w:t>12A/12AB registration and related compliance/renewal tracking</w:t>
      </w:r>
    </w:p>
    <w:p>
      <w:pPr>
        <w:pStyle w:val="ListBullet"/>
      </w:pPr>
      <w:r>
        <w:t>80G status and related reporting/record tracking</w:t>
      </w:r>
    </w:p>
    <w:p>
      <w:pPr>
        <w:pStyle w:val="ListBullet"/>
      </w:pPr>
      <w:r>
        <w:t>FCRA registration, renewal/validity and annual return tracking</w:t>
      </w:r>
    </w:p>
    <w:p>
      <w:pPr>
        <w:pStyle w:val="ListBullet"/>
      </w:pPr>
      <w:r>
        <w:t>GST registration and returns where applicable</w:t>
      </w:r>
    </w:p>
    <w:p>
      <w:pPr>
        <w:pStyle w:val="ListBullet"/>
      </w:pPr>
      <w:r>
        <w:t>Trust annual compliance</w:t>
      </w:r>
    </w:p>
    <w:p>
      <w:pPr>
        <w:pStyle w:val="ListBullet"/>
      </w:pPr>
      <w:r>
        <w:t>Society annual compliance</w:t>
      </w:r>
    </w:p>
    <w:p>
      <w:pPr>
        <w:pStyle w:val="ListBullet"/>
      </w:pPr>
      <w:r>
        <w:t>Section 8 company annual compliance</w:t>
      </w:r>
    </w:p>
    <w:p>
      <w:pPr>
        <w:pStyle w:val="ListBullet"/>
      </w:pPr>
      <w:r>
        <w:t>Annual audit and financial statements</w:t>
      </w:r>
    </w:p>
    <w:p>
      <w:pPr>
        <w:pStyle w:val="ListBullet"/>
      </w:pPr>
      <w:r>
        <w:t>CSR eligibility/registration and project-related tracking where applicable</w:t>
      </w:r>
    </w:p>
    <w:p>
      <w:pPr>
        <w:pStyle w:val="ListBullet"/>
      </w:pPr>
      <w:r>
        <w:t>Document/certificate expiry and renewal</w:t>
      </w:r>
    </w:p>
    <w:p>
      <w:pPr>
        <w:pStyle w:val="ListBullet"/>
      </w:pPr>
      <w:r>
        <w:t>Board/meeting and governance compliance where applicable</w:t>
      </w:r>
    </w:p>
    <w:p>
      <w:r>
        <w:t>Regulatory note: The exact obligations, forms, due dates, thresholds and applicability conditions must be validated by domain/legal experts and maintained as versioned configuration. This requirements document defines product behavior, not legal advice.</w:t>
      </w:r>
    </w:p>
    <w:p>
      <w:pPr>
        <w:pStyle w:val="Heading1"/>
      </w:pPr>
      <w:r>
        <w:t>5. End-to-End Business Flows</w:t>
      </w:r>
    </w:p>
    <w:p>
      <w:pPr>
        <w:pStyle w:val="Heading2"/>
      </w:pPr>
      <w:r>
        <w:t>5.1 New NGO onboarding flow</w:t>
      </w:r>
    </w:p>
    <w:p>
      <w:pPr>
        <w:pStyle w:val="ListNumber"/>
      </w:pPr>
      <w:r>
        <w:t>User selects Create Organization.</w:t>
      </w:r>
    </w:p>
    <w:p>
      <w:pPr>
        <w:pStyle w:val="ListNumber"/>
      </w:pPr>
      <w:r>
        <w:t>User selects legal structure: Trust, Society or Section 8 Company.</w:t>
      </w:r>
    </w:p>
    <w:p>
      <w:pPr>
        <w:pStyle w:val="ListNumber"/>
      </w:pPr>
      <w:r>
        <w:t>System collects basic identity, registration, tax and applicable-status information.</w:t>
      </w:r>
    </w:p>
    <w:p>
      <w:pPr>
        <w:pStyle w:val="ListNumber"/>
      </w:pPr>
      <w:r>
        <w:t>System validates required fields and displays missing information.</w:t>
      </w:r>
    </w:p>
    <w:p>
      <w:pPr>
        <w:pStyle w:val="ListNumber"/>
      </w:pPr>
      <w:r>
        <w:t>System captures registration certificates and supporting documents.</w:t>
      </w:r>
    </w:p>
    <w:p>
      <w:pPr>
        <w:pStyle w:val="ListNumber"/>
      </w:pPr>
      <w:r>
        <w:t>System determines candidate compliance obligations using configuration rules.</w:t>
      </w:r>
    </w:p>
    <w:p>
      <w:pPr>
        <w:pStyle w:val="ListNumber"/>
      </w:pPr>
      <w:r>
        <w:t>User reviews the generated compliance plan.</w:t>
      </w:r>
    </w:p>
    <w:p>
      <w:pPr>
        <w:pStyle w:val="ListNumber"/>
      </w:pPr>
      <w:r>
        <w:t>System creates organization-specific compliance instances and recurring schedules.</w:t>
      </w:r>
    </w:p>
    <w:p>
      <w:pPr>
        <w:pStyle w:val="ListNumber"/>
      </w:pPr>
      <w:r>
        <w:t>Admin invites users and assigns roles.</w:t>
      </w:r>
    </w:p>
    <w:p>
      <w:pPr>
        <w:pStyle w:val="ListNumber"/>
      </w:pPr>
      <w:r>
        <w:t>Dashboard becomes the operational home for the organization.</w:t>
      </w:r>
    </w:p>
    <w:p>
      <w:pPr>
        <w:pStyle w:val="ListNumber"/>
      </w:pPr>
      <w:r>
        <w:t>System records onboarding activity in audit history.</w:t>
      </w:r>
    </w:p>
    <w:p>
      <w:pPr>
        <w:pStyle w:val="Heading2"/>
      </w:pPr>
      <w:r>
        <w:t>5.2 Compliance lifecycle flow</w:t>
      </w:r>
    </w:p>
    <w:p>
      <w:pPr>
        <w:pStyle w:val="ListNumber"/>
      </w:pPr>
      <w:r>
        <w:t>Compliance instance is created manually or by recurring schedule.</w:t>
      </w:r>
    </w:p>
    <w:p>
      <w:pPr>
        <w:pStyle w:val="ListNumber"/>
      </w:pPr>
      <w:r>
        <w:t>System calculates/loads applicable deadline.</w:t>
      </w:r>
    </w:p>
    <w:p>
      <w:pPr>
        <w:pStyle w:val="ListNumber"/>
      </w:pPr>
      <w:r>
        <w:t>Owner is assigned.</w:t>
      </w:r>
    </w:p>
    <w:p>
      <w:pPr>
        <w:pStyle w:val="ListNumber"/>
      </w:pPr>
      <w:r>
        <w:t>Reminder schedule is attached.</w:t>
      </w:r>
    </w:p>
    <w:p>
      <w:pPr>
        <w:pStyle w:val="ListNumber"/>
      </w:pPr>
      <w:r>
        <w:t>Owner receives notification.</w:t>
      </w:r>
    </w:p>
    <w:p>
      <w:pPr>
        <w:pStyle w:val="ListNumber"/>
      </w:pPr>
      <w:r>
        <w:t>Owner reviews requirement and checklist.</w:t>
      </w:r>
    </w:p>
    <w:p>
      <w:pPr>
        <w:pStyle w:val="ListNumber"/>
      </w:pPr>
      <w:r>
        <w:t>Required evidence/documents are collected.</w:t>
      </w:r>
    </w:p>
    <w:p>
      <w:pPr>
        <w:pStyle w:val="ListNumber"/>
      </w:pPr>
      <w:r>
        <w:t>Owner marks preparation complete.</w:t>
      </w:r>
    </w:p>
    <w:p>
      <w:pPr>
        <w:pStyle w:val="ListNumber"/>
      </w:pPr>
      <w:r>
        <w:t>Reviewer checks evidence.</w:t>
      </w:r>
    </w:p>
    <w:p>
      <w:pPr>
        <w:pStyle w:val="ListNumber"/>
      </w:pPr>
      <w:r>
        <w:t>If corrections are required, item returns to In Progress with comments.</w:t>
      </w:r>
    </w:p>
    <w:p>
      <w:pPr>
        <w:pStyle w:val="ListNumber"/>
      </w:pPr>
      <w:r>
        <w:t>If approved, item moves to Ready to File / Filed depending on workflow configuration.</w:t>
      </w:r>
    </w:p>
    <w:p>
      <w:pPr>
        <w:pStyle w:val="ListNumber"/>
      </w:pPr>
      <w:r>
        <w:t>Filing proof/acknowledgement is uploaded.</w:t>
      </w:r>
    </w:p>
    <w:p>
      <w:pPr>
        <w:pStyle w:val="ListNumber"/>
      </w:pPr>
      <w:r>
        <w:t>Compliance is marked Completed.</w:t>
      </w:r>
    </w:p>
    <w:p>
      <w:pPr>
        <w:pStyle w:val="ListNumber"/>
      </w:pPr>
      <w:r>
        <w:t>System freezes completion evidence while retaining version history.</w:t>
      </w:r>
    </w:p>
    <w:p>
      <w:pPr>
        <w:pStyle w:val="ListNumber"/>
      </w:pPr>
      <w:r>
        <w:t>Next recurring instance is scheduled.</w:t>
      </w:r>
    </w:p>
    <w:p>
      <w:pPr>
        <w:pStyle w:val="ListNumber"/>
      </w:pPr>
      <w:r>
        <w:t>Audit log records the complete lifecycle.</w:t>
      </w:r>
    </w:p>
    <w:p>
      <w:pPr>
        <w:pStyle w:val="Heading2"/>
      </w:pPr>
      <w:r>
        <w:t>5.3 Overdue escalation flow</w:t>
      </w:r>
    </w:p>
    <w:p>
      <w:pPr>
        <w:pStyle w:val="ListNumber"/>
      </w:pPr>
      <w:r>
        <w:t>Deadline passes while status is not Completed.</w:t>
      </w:r>
    </w:p>
    <w:p>
      <w:pPr>
        <w:pStyle w:val="ListNumber"/>
      </w:pPr>
      <w:r>
        <w:t>System changes status to Overdue.</w:t>
      </w:r>
    </w:p>
    <w:p>
      <w:pPr>
        <w:pStyle w:val="ListNumber"/>
      </w:pPr>
      <w:r>
        <w:t>Owner receives urgent notification.</w:t>
      </w:r>
    </w:p>
    <w:p>
      <w:pPr>
        <w:pStyle w:val="ListNumber"/>
      </w:pPr>
      <w:r>
        <w:t>Manager/secondary responsible person receives escalation based on policy.</w:t>
      </w:r>
    </w:p>
    <w:p>
      <w:pPr>
        <w:pStyle w:val="ListNumber"/>
      </w:pPr>
      <w:r>
        <w:t>Dashboard risk indicator increases.</w:t>
      </w:r>
    </w:p>
    <w:p>
      <w:pPr>
        <w:pStyle w:val="ListNumber"/>
      </w:pPr>
      <w:r>
        <w:t>User records reason and recovery plan.</w:t>
      </w:r>
    </w:p>
    <w:p>
      <w:pPr>
        <w:pStyle w:val="ListNumber"/>
      </w:pPr>
      <w:r>
        <w:t>New target date may be recorded if permitted, without deleting original statutory deadline.</w:t>
      </w:r>
    </w:p>
    <w:p>
      <w:pPr>
        <w:pStyle w:val="ListNumber"/>
      </w:pPr>
      <w:r>
        <w:t>Resolution and evidence are recorded.</w:t>
      </w:r>
    </w:p>
    <w:p>
      <w:pPr>
        <w:pStyle w:val="ListNumber"/>
      </w:pPr>
      <w:r>
        <w:t>Audit trail retains original deadline, revised internal target and reason.</w:t>
      </w:r>
    </w:p>
    <w:p>
      <w:pPr>
        <w:pStyle w:val="Heading2"/>
      </w:pPr>
      <w:r>
        <w:t>5.4 Document lifecycle flow</w:t>
      </w:r>
    </w:p>
    <w:p>
      <w:pPr>
        <w:pStyle w:val="ListNumber"/>
      </w:pPr>
      <w:r>
        <w:t>User selects Upload Document.</w:t>
      </w:r>
    </w:p>
    <w:p>
      <w:pPr>
        <w:pStyle w:val="ListNumber"/>
      </w:pPr>
      <w:r>
        <w:t>System requests category, document type, related organization/compliance and optional expiry date.</w:t>
      </w:r>
    </w:p>
    <w:p>
      <w:pPr>
        <w:pStyle w:val="ListNumber"/>
      </w:pPr>
      <w:r>
        <w:t>File validation checks extension, size and basic metadata.</w:t>
      </w:r>
    </w:p>
    <w:p>
      <w:pPr>
        <w:pStyle w:val="ListNumber"/>
      </w:pPr>
      <w:r>
        <w:t>System creates immutable version metadata.</w:t>
      </w:r>
    </w:p>
    <w:p>
      <w:pPr>
        <w:pStyle w:val="ListNumber"/>
      </w:pPr>
      <w:r>
        <w:t>Document appears in repository.</w:t>
      </w:r>
    </w:p>
    <w:p>
      <w:pPr>
        <w:pStyle w:val="ListNumber"/>
      </w:pPr>
      <w:r>
        <w:t>If expiry date exists, reminder schedule is created.</w:t>
      </w:r>
    </w:p>
    <w:p>
      <w:pPr>
        <w:pStyle w:val="ListNumber"/>
      </w:pPr>
      <w:r>
        <w:t>New version replaces the active version without destroying historical versions.</w:t>
      </w:r>
    </w:p>
    <w:p>
      <w:pPr>
        <w:pStyle w:val="ListNumber"/>
      </w:pPr>
      <w:r>
        <w:t>Authorized users can preview/download.</w:t>
      </w:r>
    </w:p>
    <w:p>
      <w:pPr>
        <w:pStyle w:val="ListNumber"/>
      </w:pPr>
      <w:r>
        <w:t>Access and download events are logged.</w:t>
      </w:r>
    </w:p>
    <w:p>
      <w:pPr>
        <w:pStyle w:val="Heading2"/>
      </w:pPr>
      <w:r>
        <w:t>5.5 Consultant multi-client flow</w:t>
      </w:r>
    </w:p>
    <w:p>
      <w:pPr>
        <w:pStyle w:val="ListNumber"/>
      </w:pPr>
      <w:r>
        <w:t>Consultant/CA firm tenant is created.</w:t>
      </w:r>
    </w:p>
    <w:p>
      <w:pPr>
        <w:pStyle w:val="ListNumber"/>
      </w:pPr>
      <w:r>
        <w:t>Firm administrator adds client organizations.</w:t>
      </w:r>
    </w:p>
    <w:p>
      <w:pPr>
        <w:pStyle w:val="ListNumber"/>
      </w:pPr>
      <w:r>
        <w:t>Each client remains logically isolated.</w:t>
      </w:r>
    </w:p>
    <w:p>
      <w:pPr>
        <w:pStyle w:val="ListNumber"/>
      </w:pPr>
      <w:r>
        <w:t>Consultant switches organization from organization selector.</w:t>
      </w:r>
    </w:p>
    <w:p>
      <w:pPr>
        <w:pStyle w:val="ListNumber"/>
      </w:pPr>
      <w:r>
        <w:t>Dashboard shows client-specific compliance health.</w:t>
      </w:r>
    </w:p>
    <w:p>
      <w:pPr>
        <w:pStyle w:val="ListNumber"/>
      </w:pPr>
      <w:r>
        <w:t>Firm-level portfolio dashboard shows aggregated risk without exposing unauthorized details.</w:t>
      </w:r>
    </w:p>
    <w:p>
      <w:pPr>
        <w:pStyle w:val="ListNumber"/>
      </w:pPr>
      <w:r>
        <w:t>Consultant assigns work to internal staff.</w:t>
      </w:r>
    </w:p>
    <w:p>
      <w:pPr>
        <w:pStyle w:val="ListNumber"/>
      </w:pPr>
      <w:r>
        <w:t>Client users review/approve selected actions.</w:t>
      </w:r>
    </w:p>
    <w:p>
      <w:pPr>
        <w:pStyle w:val="ListNumber"/>
      </w:pPr>
      <w:r>
        <w:t>Reports can be generated per client or across the portfolio subject to permissions.</w:t>
      </w:r>
    </w:p>
    <w:p>
      <w:pPr>
        <w:pStyle w:val="Heading2"/>
      </w:pPr>
      <w:r>
        <w:t>5.6 User invitation flow</w:t>
      </w:r>
    </w:p>
    <w:p>
      <w:pPr>
        <w:pStyle w:val="ListNumber"/>
      </w:pPr>
      <w:r>
        <w:t>Admin enters invitee email and role.</w:t>
      </w:r>
    </w:p>
    <w:p>
      <w:pPr>
        <w:pStyle w:val="ListNumber"/>
      </w:pPr>
      <w:r>
        <w:t>System checks whether user already belongs to tenant.</w:t>
      </w:r>
    </w:p>
    <w:p>
      <w:pPr>
        <w:pStyle w:val="ListNumber"/>
      </w:pPr>
      <w:r>
        <w:t>Invitation is created with expiry.</w:t>
      </w:r>
    </w:p>
    <w:p>
      <w:pPr>
        <w:pStyle w:val="ListNumber"/>
      </w:pPr>
      <w:r>
        <w:t>Invitee accepts and establishes credentials/SSO.</w:t>
      </w:r>
    </w:p>
    <w:p>
      <w:pPr>
        <w:pStyle w:val="ListNumber"/>
      </w:pPr>
      <w:r>
        <w:t>System assigns role and tenant membership.</w:t>
      </w:r>
    </w:p>
    <w:p>
      <w:pPr>
        <w:pStyle w:val="ListNumber"/>
      </w:pPr>
      <w:r>
        <w:t>Invite acceptance is audited.</w:t>
      </w:r>
    </w:p>
    <w:p>
      <w:pPr>
        <w:pStyle w:val="ListNumber"/>
      </w:pPr>
      <w:r>
        <w:t>Admin can deactivate membership without deleting historical work.</w:t>
      </w:r>
    </w:p>
    <w:p>
      <w:pPr>
        <w:pStyle w:val="Heading2"/>
      </w:pPr>
      <w:r>
        <w:t>5.7 Subscription flow</w:t>
      </w:r>
    </w:p>
    <w:p>
      <w:pPr>
        <w:pStyle w:val="ListNumber"/>
      </w:pPr>
      <w:r>
        <w:t>Organization selects a plan.</w:t>
      </w:r>
    </w:p>
    <w:p>
      <w:pPr>
        <w:pStyle w:val="ListNumber"/>
      </w:pPr>
      <w:r>
        <w:t>System creates subscription state and entitlement set.</w:t>
      </w:r>
    </w:p>
    <w:p>
      <w:pPr>
        <w:pStyle w:val="ListNumber"/>
      </w:pPr>
      <w:r>
        <w:t>Usage counters begin tracking users/storage/feature limits as configured.</w:t>
      </w:r>
    </w:p>
    <w:p>
      <w:pPr>
        <w:pStyle w:val="ListNumber"/>
      </w:pPr>
      <w:r>
        <w:t>Admin sees current usage and limits.</w:t>
      </w:r>
    </w:p>
    <w:p>
      <w:pPr>
        <w:pStyle w:val="ListNumber"/>
      </w:pPr>
      <w:r>
        <w:t>If limit is reached, system provides upgrade path rather than silently failing.</w:t>
      </w:r>
    </w:p>
    <w:p>
      <w:pPr>
        <w:pStyle w:val="ListNumber"/>
      </w:pPr>
      <w:r>
        <w:t>Subscription changes preserve existing data.</w:t>
      </w:r>
    </w:p>
    <w:p>
      <w:pPr>
        <w:pStyle w:val="ListNumber"/>
      </w:pPr>
      <w:r>
        <w:t>Downgrade rules must prevent destructive loss and clearly explain affected features.</w:t>
      </w:r>
    </w:p>
    <w:p>
      <w:pPr>
        <w:pStyle w:val="Heading1"/>
      </w:pPr>
      <w:r>
        <w:t>6. Functional Requirements</w:t>
      </w:r>
    </w:p>
    <w:p>
      <w:pPr>
        <w:pStyle w:val="Heading2"/>
      </w:pPr>
      <w:r>
        <w:t>6.1 Organization Management</w:t>
      </w:r>
    </w:p>
    <w:p>
      <w:pPr>
        <w:pStyle w:val="ListBullet"/>
      </w:pPr>
      <w:r>
        <w:t>Create, edit, view and archive organizations.</w:t>
      </w:r>
    </w:p>
    <w:p>
      <w:pPr>
        <w:pStyle w:val="ListBullet"/>
      </w:pPr>
      <w:r>
        <w:t>Capture organization type and statutory identifiers.</w:t>
      </w:r>
    </w:p>
    <w:p>
      <w:pPr>
        <w:pStyle w:val="ListBullet"/>
      </w:pPr>
      <w:r>
        <w:t>Maintain addresses, contacts and key personnel.</w:t>
      </w:r>
    </w:p>
    <w:p>
      <w:pPr>
        <w:pStyle w:val="ListBullet"/>
      </w:pPr>
      <w:r>
        <w:t>Track registration dates and validity dates.</w:t>
      </w:r>
    </w:p>
    <w:p>
      <w:pPr>
        <w:pStyle w:val="ListBullet"/>
      </w:pPr>
      <w:r>
        <w:t>Attach certificates to organization records.</w:t>
      </w:r>
    </w:p>
    <w:p>
      <w:pPr>
        <w:pStyle w:val="ListBullet"/>
      </w:pPr>
      <w:r>
        <w:t>Maintain structured compliance-related attributes.</w:t>
      </w:r>
    </w:p>
    <w:p>
      <w:pPr>
        <w:pStyle w:val="ListBullet"/>
      </w:pPr>
      <w:r>
        <w:t>Support organization status: Draft, Active, Suspended, Archived.</w:t>
      </w:r>
    </w:p>
    <w:p>
      <w:pPr>
        <w:pStyle w:val="ListBullet"/>
      </w:pPr>
      <w:r>
        <w:t>Maintain history of material profile changes.</w:t>
      </w:r>
    </w:p>
    <w:p>
      <w:pPr>
        <w:pStyle w:val="ListBullet"/>
      </w:pPr>
      <w:r>
        <w:t>Prevent duplicate organizations based on configurable identifiers and review workflow.</w:t>
      </w:r>
    </w:p>
    <w:p>
      <w:pPr>
        <w:pStyle w:val="Heading2"/>
      </w:pPr>
      <w:r>
        <w:t>6.2 Compliance Management</w:t>
      </w:r>
    </w:p>
    <w:p>
      <w:pPr>
        <w:pStyle w:val="ListBullet"/>
      </w:pPr>
      <w:r>
        <w:t>Create compliance from catalogue or manually where authorized.</w:t>
      </w:r>
    </w:p>
    <w:p>
      <w:pPr>
        <w:pStyle w:val="ListBullet"/>
      </w:pPr>
      <w:r>
        <w:t>Determine applicability from organization attributes.</w:t>
      </w:r>
    </w:p>
    <w:p>
      <w:pPr>
        <w:pStyle w:val="ListBullet"/>
      </w:pPr>
      <w:r>
        <w:t>Assign owner/reviewer.</w:t>
      </w:r>
    </w:p>
    <w:p>
      <w:pPr>
        <w:pStyle w:val="ListBullet"/>
      </w:pPr>
      <w:r>
        <w:t>Set internal target dates separately from statutory deadlines.</w:t>
      </w:r>
    </w:p>
    <w:p>
      <w:pPr>
        <w:pStyle w:val="ListBullet"/>
      </w:pPr>
      <w:r>
        <w:t>Support configurable statuses and transitions.</w:t>
      </w:r>
    </w:p>
    <w:p>
      <w:pPr>
        <w:pStyle w:val="ListBullet"/>
      </w:pPr>
      <w:r>
        <w:t>Allow comments and evidence attachments.</w:t>
      </w:r>
    </w:p>
    <w:p>
      <w:pPr>
        <w:pStyle w:val="ListBullet"/>
      </w:pPr>
      <w:r>
        <w:t>Support recurring schedules.</w:t>
      </w:r>
    </w:p>
    <w:p>
      <w:pPr>
        <w:pStyle w:val="ListBullet"/>
      </w:pPr>
      <w:r>
        <w:t>Support exceptions with reason and approval.</w:t>
      </w:r>
    </w:p>
    <w:p>
      <w:pPr>
        <w:pStyle w:val="ListBullet"/>
      </w:pPr>
      <w:r>
        <w:t>Support reopening with reason.</w:t>
      </w:r>
    </w:p>
    <w:p>
      <w:pPr>
        <w:pStyle w:val="ListBullet"/>
      </w:pPr>
      <w:r>
        <w:t>Maintain full lifecycle history.</w:t>
      </w:r>
    </w:p>
    <w:p>
      <w:pPr>
        <w:pStyle w:val="ListBullet"/>
      </w:pPr>
      <w:r>
        <w:t>Allow filtering by year, type, status, owner, priority and due-date window.</w:t>
      </w:r>
    </w:p>
    <w:p>
      <w:pPr>
        <w:pStyle w:val="Heading2"/>
      </w:pPr>
      <w:r>
        <w:t>6.3 Calendar</w:t>
      </w:r>
    </w:p>
    <w:p>
      <w:pPr>
        <w:pStyle w:val="ListBullet"/>
      </w:pPr>
      <w:r>
        <w:t>Month/week/list views.</w:t>
      </w:r>
    </w:p>
    <w:p>
      <w:pPr>
        <w:pStyle w:val="ListBullet"/>
      </w:pPr>
      <w:r>
        <w:t>Display compliance, tasks, audits and document expiries.</w:t>
      </w:r>
    </w:p>
    <w:p>
      <w:pPr>
        <w:pStyle w:val="ListBullet"/>
      </w:pPr>
      <w:r>
        <w:t>Color/status coding.</w:t>
      </w:r>
    </w:p>
    <w:p>
      <w:pPr>
        <w:pStyle w:val="ListBullet"/>
      </w:pPr>
      <w:r>
        <w:t>Filter by organization, type, owner and status.</w:t>
      </w:r>
    </w:p>
    <w:p>
      <w:pPr>
        <w:pStyle w:val="ListBullet"/>
      </w:pPr>
      <w:r>
        <w:t>Click event to open detail.</w:t>
      </w:r>
    </w:p>
    <w:p>
      <w:pPr>
        <w:pStyle w:val="ListBullet"/>
      </w:pPr>
      <w:r>
        <w:t>Show overdue events distinctly.</w:t>
      </w:r>
    </w:p>
    <w:p>
      <w:pPr>
        <w:pStyle w:val="ListBullet"/>
      </w:pPr>
      <w:r>
        <w:t>Support internal calendar events without confusing them with statutory deadlines.</w:t>
      </w:r>
    </w:p>
    <w:p>
      <w:pPr>
        <w:pStyle w:val="Heading2"/>
      </w:pPr>
      <w:r>
        <w:t>6.4 Task Management</w:t>
      </w:r>
    </w:p>
    <w:p>
      <w:pPr>
        <w:pStyle w:val="ListBullet"/>
      </w:pPr>
      <w:r>
        <w:t>Create one-off and compliance-linked tasks.</w:t>
      </w:r>
    </w:p>
    <w:p>
      <w:pPr>
        <w:pStyle w:val="ListBullet"/>
      </w:pPr>
      <w:r>
        <w:t>Assign one primary owner and optional collaborators.</w:t>
      </w:r>
    </w:p>
    <w:p>
      <w:pPr>
        <w:pStyle w:val="ListBullet"/>
      </w:pPr>
      <w:r>
        <w:t>Support priority and due date.</w:t>
      </w:r>
    </w:p>
    <w:p>
      <w:pPr>
        <w:pStyle w:val="ListBullet"/>
      </w:pPr>
      <w:r>
        <w:t>Support checklist/subtasks.</w:t>
      </w:r>
    </w:p>
    <w:p>
      <w:pPr>
        <w:pStyle w:val="ListBullet"/>
      </w:pPr>
      <w:r>
        <w:t>Support comments and attachments.</w:t>
      </w:r>
    </w:p>
    <w:p>
      <w:pPr>
        <w:pStyle w:val="ListBullet"/>
      </w:pPr>
      <w:r>
        <w:t>Support Kanban and table views.</w:t>
      </w:r>
    </w:p>
    <w:p>
      <w:pPr>
        <w:pStyle w:val="ListBullet"/>
      </w:pPr>
      <w:r>
        <w:t>Prevent unauthorized reassignment.</w:t>
      </w:r>
    </w:p>
    <w:p>
      <w:pPr>
        <w:pStyle w:val="ListBullet"/>
      </w:pPr>
      <w:r>
        <w:t>Record completion timestamp and completer.</w:t>
      </w:r>
    </w:p>
    <w:p>
      <w:pPr>
        <w:pStyle w:val="ListBullet"/>
      </w:pPr>
      <w:r>
        <w:t>Escalate overdue tasks.</w:t>
      </w:r>
    </w:p>
    <w:p>
      <w:pPr>
        <w:pStyle w:val="Heading2"/>
      </w:pPr>
      <w:r>
        <w:t>6.5 Document Management</w:t>
      </w:r>
    </w:p>
    <w:p>
      <w:pPr>
        <w:pStyle w:val="ListBullet"/>
      </w:pPr>
      <w:r>
        <w:t>Supported file types and maximum sizes must be configurable.</w:t>
      </w:r>
    </w:p>
    <w:p>
      <w:pPr>
        <w:pStyle w:val="ListBullet"/>
      </w:pPr>
      <w:r>
        <w:t>Document metadata: type, category, owner, source, date, expiry, related compliance.</w:t>
      </w:r>
    </w:p>
    <w:p>
      <w:pPr>
        <w:pStyle w:val="ListBullet"/>
      </w:pPr>
      <w:r>
        <w:t>Version history must be retained.</w:t>
      </w:r>
    </w:p>
    <w:p>
      <w:pPr>
        <w:pStyle w:val="ListBullet"/>
      </w:pPr>
      <w:r>
        <w:t>Deleting a document should normally mean logical deletion/archival, not physical destruction.</w:t>
      </w:r>
    </w:p>
    <w:p>
      <w:pPr>
        <w:pStyle w:val="ListBullet"/>
      </w:pPr>
      <w:r>
        <w:t>Preview availability depends on file type.</w:t>
      </w:r>
    </w:p>
    <w:p>
      <w:pPr>
        <w:pStyle w:val="ListBullet"/>
      </w:pPr>
      <w:r>
        <w:t>Download must be permission-controlled and auditable.</w:t>
      </w:r>
    </w:p>
    <w:p>
      <w:pPr>
        <w:pStyle w:val="ListBullet"/>
      </w:pPr>
      <w:r>
        <w:t>Duplicate detection can be added later.</w:t>
      </w:r>
    </w:p>
    <w:p>
      <w:pPr>
        <w:pStyle w:val="ListBullet"/>
      </w:pPr>
      <w:r>
        <w:t>Retention policies must be configurable.</w:t>
      </w:r>
    </w:p>
    <w:p>
      <w:pPr>
        <w:pStyle w:val="Heading2"/>
      </w:pPr>
      <w:r>
        <w:t>6.6 Dashboard &amp; Reports</w:t>
      </w:r>
    </w:p>
    <w:p>
      <w:pPr>
        <w:pStyle w:val="ListBullet"/>
      </w:pPr>
      <w:r>
        <w:t>Show total, completed, in-progress, upcoming and overdue compliance.</w:t>
      </w:r>
    </w:p>
    <w:p>
      <w:pPr>
        <w:pStyle w:val="ListBullet"/>
      </w:pPr>
      <w:r>
        <w:t>Show risk summary.</w:t>
      </w:r>
    </w:p>
    <w:p>
      <w:pPr>
        <w:pStyle w:val="ListBullet"/>
      </w:pPr>
      <w:r>
        <w:t>Show next 30/60/90-day deadlines.</w:t>
      </w:r>
    </w:p>
    <w:p>
      <w:pPr>
        <w:pStyle w:val="ListBullet"/>
      </w:pPr>
      <w:r>
        <w:t>Show expiring documents.</w:t>
      </w:r>
    </w:p>
    <w:p>
      <w:pPr>
        <w:pStyle w:val="ListBullet"/>
      </w:pPr>
      <w:r>
        <w:t>Show assigned tasks.</w:t>
      </w:r>
    </w:p>
    <w:p>
      <w:pPr>
        <w:pStyle w:val="ListBullet"/>
      </w:pPr>
      <w:r>
        <w:t>Show recent activity.</w:t>
      </w:r>
    </w:p>
    <w:p>
      <w:pPr>
        <w:pStyle w:val="ListBullet"/>
      </w:pPr>
      <w:r>
        <w:t>Provide drill-down from KPI to underlying records.</w:t>
      </w:r>
    </w:p>
    <w:p>
      <w:pPr>
        <w:pStyle w:val="ListBullet"/>
      </w:pPr>
      <w:r>
        <w:t>Reports must respect tenant and role permissions.</w:t>
      </w:r>
    </w:p>
    <w:p>
      <w:pPr>
        <w:pStyle w:val="ListBullet"/>
      </w:pPr>
      <w:r>
        <w:t>Exports should include report timestamp, filters and organization context.</w:t>
      </w:r>
    </w:p>
    <w:p>
      <w:pPr>
        <w:pStyle w:val="Heading2"/>
      </w:pPr>
      <w:r>
        <w:t>6.7 Notifications</w:t>
      </w:r>
    </w:p>
    <w:p>
      <w:pPr>
        <w:pStyle w:val="ListBullet"/>
      </w:pPr>
      <w:r>
        <w:t>Notifications must be preference-aware.</w:t>
      </w:r>
    </w:p>
    <w:p>
      <w:pPr>
        <w:pStyle w:val="ListBullet"/>
      </w:pPr>
      <w:r>
        <w:t>Reminder schedules should support multiple intervals.</w:t>
      </w:r>
    </w:p>
    <w:p>
      <w:pPr>
        <w:pStyle w:val="ListBullet"/>
      </w:pPr>
      <w:r>
        <w:t>System should prevent accidental duplicate sends.</w:t>
      </w:r>
    </w:p>
    <w:p>
      <w:pPr>
        <w:pStyle w:val="ListBullet"/>
      </w:pPr>
      <w:r>
        <w:t>Failed delivery should be recorded.</w:t>
      </w:r>
    </w:p>
    <w:p>
      <w:pPr>
        <w:pStyle w:val="ListBullet"/>
      </w:pPr>
      <w:r>
        <w:t>Critical notifications may require escalation.</w:t>
      </w:r>
    </w:p>
    <w:p>
      <w:pPr>
        <w:pStyle w:val="ListBullet"/>
      </w:pPr>
      <w:r>
        <w:t>Users should be able to mark notifications read/unread.</w:t>
      </w:r>
    </w:p>
    <w:p>
      <w:pPr>
        <w:pStyle w:val="ListBullet"/>
      </w:pPr>
      <w:r>
        <w:t>Notification history must be queryable.</w:t>
      </w:r>
    </w:p>
    <w:p>
      <w:pPr>
        <w:pStyle w:val="Heading1"/>
      </w:pPr>
      <w:r>
        <w:t>7. Business Rules &amp; Edge Cases</w:t>
      </w:r>
    </w:p>
    <w:p>
      <w:pPr>
        <w:pStyle w:val="ListBullet"/>
      </w:pPr>
      <w:r>
        <w:t>One NGO can have multiple compliance obligations of the same category across financial years.</w:t>
      </w:r>
    </w:p>
    <w:p>
      <w:pPr>
        <w:pStyle w:val="ListBullet"/>
      </w:pPr>
      <w:r>
        <w:t>Statutory deadline and internal target date are different concepts and must not be conflated.</w:t>
      </w:r>
    </w:p>
    <w:p>
      <w:pPr>
        <w:pStyle w:val="ListBullet"/>
      </w:pPr>
      <w:r>
        <w:t>An obligation can be Not Applicable; this requires reason and, for sensitive obligations, approval.</w:t>
      </w:r>
    </w:p>
    <w:p>
      <w:pPr>
        <w:pStyle w:val="ListBullet"/>
      </w:pPr>
      <w:r>
        <w:t>A deadline change must never erase the original statutory date.</w:t>
      </w:r>
    </w:p>
    <w:p>
      <w:pPr>
        <w:pStyle w:val="ListBullet"/>
      </w:pPr>
      <w:r>
        <w:t>A compliance may be reopened after completion only with reason and audit entry.</w:t>
      </w:r>
    </w:p>
    <w:p>
      <w:pPr>
        <w:pStyle w:val="ListBullet"/>
      </w:pPr>
      <w:r>
        <w:t>A document can support multiple compliance instances.</w:t>
      </w:r>
    </w:p>
    <w:p>
      <w:pPr>
        <w:pStyle w:val="ListBullet"/>
      </w:pPr>
      <w:r>
        <w:t>Multiple users can collaborate on one compliance, but there should be one accountable owner unless workflow configuration explicitly supports shared ownership.</w:t>
      </w:r>
    </w:p>
    <w:p>
      <w:pPr>
        <w:pStyle w:val="ListBullet"/>
      </w:pPr>
      <w:r>
        <w:t>Inactive users must remain visible in historical records but cannot receive new assignments.</w:t>
      </w:r>
    </w:p>
    <w:p>
      <w:pPr>
        <w:pStyle w:val="ListBullet"/>
      </w:pPr>
      <w:r>
        <w:t>Archived organizations must not appear in normal operational lists but must remain retrievable by authorized administrators.</w:t>
      </w:r>
    </w:p>
    <w:p>
      <w:pPr>
        <w:pStyle w:val="ListBullet"/>
      </w:pPr>
      <w:r>
        <w:t>Plan limits must not silently delete data when a subscription changes.</w:t>
      </w:r>
    </w:p>
    <w:p>
      <w:pPr>
        <w:pStyle w:val="ListBullet"/>
      </w:pPr>
      <w:r>
        <w:t>Failed notifications must be retryable and visible to administrators.</w:t>
      </w:r>
    </w:p>
    <w:p>
      <w:pPr>
        <w:pStyle w:val="ListBullet"/>
      </w:pPr>
      <w:r>
        <w:t>Duplicate organization creation must be detected where reliable identifiers are available.</w:t>
      </w:r>
    </w:p>
    <w:p>
      <w:pPr>
        <w:pStyle w:val="ListBullet"/>
      </w:pPr>
      <w:r>
        <w:t>Time zones must be organization-configurable; statutory dates must use the jurisdiction's relevant date convention.</w:t>
      </w:r>
    </w:p>
    <w:p>
      <w:pPr>
        <w:pStyle w:val="ListBullet"/>
      </w:pPr>
      <w:r>
        <w:t>All timestamps stored/displayed must be consistent and auditable.</w:t>
      </w:r>
    </w:p>
    <w:p>
      <w:pPr>
        <w:pStyle w:val="ListBullet"/>
      </w:pPr>
      <w:r>
        <w:t>Rule changes must not retroactively mutate completed historical compliance records.</w:t>
      </w:r>
    </w:p>
    <w:p>
      <w:pPr>
        <w:pStyle w:val="Heading1"/>
      </w:pPr>
      <w:r>
        <w:t>8. Non-Functional Requirements</w:t>
      </w:r>
    </w:p>
    <w:p>
      <w:pPr>
        <w:pStyle w:val="Heading2"/>
      </w:pPr>
      <w:r>
        <w:t>8.1 Security</w:t>
      </w:r>
    </w:p>
    <w:p>
      <w:pPr>
        <w:pStyle w:val="ListBullet"/>
      </w:pPr>
      <w:r>
        <w:t>TLS for all network traffic.</w:t>
      </w:r>
    </w:p>
    <w:p>
      <w:pPr>
        <w:pStyle w:val="ListBullet"/>
      </w:pPr>
      <w:r>
        <w:t>Strong authentication and session management.</w:t>
      </w:r>
    </w:p>
    <w:p>
      <w:pPr>
        <w:pStyle w:val="ListBullet"/>
      </w:pPr>
      <w:r>
        <w:t>RBAC with tenant isolation.</w:t>
      </w:r>
    </w:p>
    <w:p>
      <w:pPr>
        <w:pStyle w:val="ListBullet"/>
      </w:pPr>
      <w:r>
        <w:t>Secure password storage using an industry-standard password hashing algorithm.</w:t>
      </w:r>
    </w:p>
    <w:p>
      <w:pPr>
        <w:pStyle w:val="ListBullet"/>
      </w:pPr>
      <w:r>
        <w:t>MFA capability for privileged users.</w:t>
      </w:r>
    </w:p>
    <w:p>
      <w:pPr>
        <w:pStyle w:val="ListBullet"/>
      </w:pPr>
      <w:r>
        <w:t>Rate limiting and brute-force protection.</w:t>
      </w:r>
    </w:p>
    <w:p>
      <w:pPr>
        <w:pStyle w:val="ListBullet"/>
      </w:pPr>
      <w:r>
        <w:t>Audit logging for security-sensitive actions.</w:t>
      </w:r>
    </w:p>
    <w:p>
      <w:pPr>
        <w:pStyle w:val="ListBullet"/>
      </w:pPr>
      <w:r>
        <w:t>Secrets must never be stored in source code.</w:t>
      </w:r>
    </w:p>
    <w:p>
      <w:pPr>
        <w:pStyle w:val="ListBullet"/>
      </w:pPr>
      <w:r>
        <w:t>File access must use authorized, time-bound access where appropriate.</w:t>
      </w:r>
    </w:p>
    <w:p>
      <w:pPr>
        <w:pStyle w:val="ListBullet"/>
      </w:pPr>
      <w:r>
        <w:t>Backups must be encrypted.</w:t>
      </w:r>
    </w:p>
    <w:p>
      <w:pPr>
        <w:pStyle w:val="Heading2"/>
      </w:pPr>
      <w:r>
        <w:t>8.2 Performance</w:t>
      </w:r>
    </w:p>
    <w:p>
      <w:pPr>
        <w:pStyle w:val="ListBullet"/>
      </w:pPr>
      <w:r>
        <w:t>Dashboard should load quickly under normal tenant sizes.</w:t>
      </w:r>
    </w:p>
    <w:p>
      <w:pPr>
        <w:pStyle w:val="ListBullet"/>
      </w:pPr>
      <w:r>
        <w:t>Pagination must be server-driven once backend exists; frontend prototypes may simulate pagination.</w:t>
      </w:r>
    </w:p>
    <w:p>
      <w:pPr>
        <w:pStyle w:val="ListBullet"/>
      </w:pPr>
      <w:r>
        <w:t>Large document lists must not load every record at once.</w:t>
      </w:r>
    </w:p>
    <w:p>
      <w:pPr>
        <w:pStyle w:val="ListBullet"/>
      </w:pPr>
      <w:r>
        <w:t>Search should provide predictable response time.</w:t>
      </w:r>
    </w:p>
    <w:p>
      <w:pPr>
        <w:pStyle w:val="ListBullet"/>
      </w:pPr>
      <w:r>
        <w:t>Long-running operations such as OCR, report generation and bulk import must be asynchronous.</w:t>
      </w:r>
    </w:p>
    <w:p>
      <w:pPr>
        <w:pStyle w:val="Heading2"/>
      </w:pPr>
      <w:r>
        <w:t>8.3 Availability &amp; Reliability</w:t>
      </w:r>
    </w:p>
    <w:p>
      <w:pPr>
        <w:pStyle w:val="ListBullet"/>
      </w:pPr>
      <w:r>
        <w:t>Define target uptime/SLA by SaaS plan.</w:t>
      </w:r>
    </w:p>
    <w:p>
      <w:pPr>
        <w:pStyle w:val="ListBullet"/>
      </w:pPr>
      <w:r>
        <w:t>Implement automated backups.</w:t>
      </w:r>
    </w:p>
    <w:p>
      <w:pPr>
        <w:pStyle w:val="ListBullet"/>
      </w:pPr>
      <w:r>
        <w:t>Define recovery point and recovery time objectives during system design.</w:t>
      </w:r>
    </w:p>
    <w:p>
      <w:pPr>
        <w:pStyle w:val="ListBullet"/>
      </w:pPr>
      <w:r>
        <w:t>Use health checks and monitoring.</w:t>
      </w:r>
    </w:p>
    <w:p>
      <w:pPr>
        <w:pStyle w:val="ListBullet"/>
      </w:pPr>
      <w:r>
        <w:t>Provide graceful degradation when notification or AI providers are unavailable.</w:t>
      </w:r>
    </w:p>
    <w:p>
      <w:pPr>
        <w:pStyle w:val="Heading2"/>
      </w:pPr>
      <w:r>
        <w:t>8.4 Scalability</w:t>
      </w:r>
    </w:p>
    <w:p>
      <w:pPr>
        <w:pStyle w:val="ListBullet"/>
      </w:pPr>
      <w:r>
        <w:t>Design for multiple tenants from the first release.</w:t>
      </w:r>
    </w:p>
    <w:p>
      <w:pPr>
        <w:pStyle w:val="ListBullet"/>
      </w:pPr>
      <w:r>
        <w:t>Keep tenant data isolation explicit.</w:t>
      </w:r>
    </w:p>
    <w:p>
      <w:pPr>
        <w:pStyle w:val="ListBullet"/>
      </w:pPr>
      <w:r>
        <w:t>Use asynchronous workers for scheduled jobs.</w:t>
      </w:r>
    </w:p>
    <w:p>
      <w:pPr>
        <w:pStyle w:val="ListBullet"/>
      </w:pPr>
      <w:r>
        <w:t>Use object storage for documents rather than database blobs.</w:t>
      </w:r>
    </w:p>
    <w:p>
      <w:pPr>
        <w:pStyle w:val="ListBullet"/>
      </w:pPr>
      <w:r>
        <w:t>Use caching selectively.</w:t>
      </w:r>
    </w:p>
    <w:p>
      <w:pPr>
        <w:pStyle w:val="ListBullet"/>
      </w:pPr>
      <w:r>
        <w:t>Design database indexes around tenant_id, status, due_date, organization_id and common search fields.</w:t>
      </w:r>
    </w:p>
    <w:p>
      <w:pPr>
        <w:pStyle w:val="Heading2"/>
      </w:pPr>
      <w:r>
        <w:t>8.5 Accessibility &amp; UX</w:t>
      </w:r>
    </w:p>
    <w:p>
      <w:pPr>
        <w:pStyle w:val="ListBullet"/>
      </w:pPr>
      <w:r>
        <w:t>Keyboard navigation for core workflows.</w:t>
      </w:r>
    </w:p>
    <w:p>
      <w:pPr>
        <w:pStyle w:val="ListBullet"/>
      </w:pPr>
      <w:r>
        <w:t>Visible focus states.</w:t>
      </w:r>
    </w:p>
    <w:p>
      <w:pPr>
        <w:pStyle w:val="ListBullet"/>
      </w:pPr>
      <w:r>
        <w:t>Accessible form labels and errors.</w:t>
      </w:r>
    </w:p>
    <w:p>
      <w:pPr>
        <w:pStyle w:val="ListBullet"/>
      </w:pPr>
      <w:r>
        <w:t>Color must not be the only status indicator.</w:t>
      </w:r>
    </w:p>
    <w:p>
      <w:pPr>
        <w:pStyle w:val="ListBullet"/>
      </w:pPr>
      <w:r>
        <w:t>Responsive desktop/tablet/mobile layouts.</w:t>
      </w:r>
    </w:p>
    <w:p>
      <w:pPr>
        <w:pStyle w:val="ListBullet"/>
      </w:pPr>
      <w:r>
        <w:t>Consistent empty, loading, success and error states.</w:t>
      </w:r>
    </w:p>
    <w:p>
      <w:pPr>
        <w:pStyle w:val="Heading1"/>
      </w:pPr>
      <w:r>
        <w:t>9. Data Requirements for System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Entity</w:t>
            </w:r>
          </w:p>
        </w:tc>
        <w:tc>
          <w:tcPr>
            <w:tcW w:type="dxa" w:w="3312"/>
            <w:vAlign w:val="center"/>
          </w:tcPr>
          <w:p>
            <w:r>
              <w:rPr>
                <w:b/>
              </w:rPr>
              <w:t>Key information</w:t>
            </w:r>
          </w:p>
        </w:tc>
        <w:tc>
          <w:tcPr>
            <w:tcW w:type="dxa" w:w="3312"/>
            <w:vAlign w:val="center"/>
          </w:tcPr>
          <w:p>
            <w:r>
              <w:rPr>
                <w:b/>
              </w:rPr>
              <w:t>Important relationships</w:t>
            </w:r>
          </w:p>
        </w:tc>
      </w:tr>
      <w:tr>
        <w:tc>
          <w:tcPr>
            <w:tcW w:type="dxa" w:w="3312"/>
            <w:vAlign w:val="top"/>
          </w:tcPr>
          <w:p>
            <w:r>
              <w:t>Tenant</w:t>
            </w:r>
          </w:p>
        </w:tc>
        <w:tc>
          <w:tcPr>
            <w:tcW w:type="dxa" w:w="3312"/>
            <w:vAlign w:val="top"/>
          </w:tcPr>
          <w:p>
            <w:r>
              <w:t>Tenant ID, plan, status, settings</w:t>
            </w:r>
          </w:p>
        </w:tc>
        <w:tc>
          <w:tcPr>
            <w:tcW w:type="dxa" w:w="3312"/>
            <w:vAlign w:val="top"/>
          </w:tcPr>
          <w:p>
            <w:r>
              <w:t>Owns users, organizations and subscriptions</w:t>
            </w:r>
          </w:p>
        </w:tc>
      </w:tr>
      <w:tr>
        <w:tc>
          <w:tcPr>
            <w:tcW w:type="dxa" w:w="3312"/>
            <w:vAlign w:val="top"/>
          </w:tcPr>
          <w:p>
            <w:r>
              <w:t>Organization</w:t>
            </w:r>
          </w:p>
        </w:tc>
        <w:tc>
          <w:tcPr>
            <w:tcW w:type="dxa" w:w="3312"/>
            <w:vAlign w:val="top"/>
          </w:tcPr>
          <w:p>
            <w:r>
              <w:t>Identity, type, statutory identifiers, status</w:t>
            </w:r>
          </w:p>
        </w:tc>
        <w:tc>
          <w:tcPr>
            <w:tcW w:type="dxa" w:w="3312"/>
            <w:vAlign w:val="top"/>
          </w:tcPr>
          <w:p>
            <w:r>
              <w:t>Belongs to tenant</w:t>
            </w:r>
          </w:p>
        </w:tc>
      </w:tr>
      <w:tr>
        <w:tc>
          <w:tcPr>
            <w:tcW w:type="dxa" w:w="3312"/>
            <w:vAlign w:val="top"/>
          </w:tcPr>
          <w:p>
            <w:r>
              <w:t>User</w:t>
            </w:r>
          </w:p>
        </w:tc>
        <w:tc>
          <w:tcPr>
            <w:tcW w:type="dxa" w:w="3312"/>
            <w:vAlign w:val="top"/>
          </w:tcPr>
          <w:p>
            <w:r>
              <w:t>Identity, status, preferences</w:t>
            </w:r>
          </w:p>
        </w:tc>
        <w:tc>
          <w:tcPr>
            <w:tcW w:type="dxa" w:w="3312"/>
            <w:vAlign w:val="top"/>
          </w:tcPr>
          <w:p>
            <w:r>
              <w:t>Belongs to tenant; may access organizations</w:t>
            </w:r>
          </w:p>
        </w:tc>
      </w:tr>
      <w:tr>
        <w:tc>
          <w:tcPr>
            <w:tcW w:type="dxa" w:w="3312"/>
            <w:vAlign w:val="top"/>
          </w:tcPr>
          <w:p>
            <w:r>
              <w:t>Role</w:t>
            </w:r>
          </w:p>
        </w:tc>
        <w:tc>
          <w:tcPr>
            <w:tcW w:type="dxa" w:w="3312"/>
            <w:vAlign w:val="top"/>
          </w:tcPr>
          <w:p>
            <w:r>
              <w:t>Name, permissions</w:t>
            </w:r>
          </w:p>
        </w:tc>
        <w:tc>
          <w:tcPr>
            <w:tcW w:type="dxa" w:w="3312"/>
            <w:vAlign w:val="top"/>
          </w:tcPr>
          <w:p>
            <w:r>
              <w:t>Assigned through membership</w:t>
            </w:r>
          </w:p>
        </w:tc>
      </w:tr>
      <w:tr>
        <w:tc>
          <w:tcPr>
            <w:tcW w:type="dxa" w:w="3312"/>
            <w:vAlign w:val="top"/>
          </w:tcPr>
          <w:p>
            <w:r>
              <w:t>Compliance Definition</w:t>
            </w:r>
          </w:p>
        </w:tc>
        <w:tc>
          <w:tcPr>
            <w:tcW w:type="dxa" w:w="3312"/>
            <w:vAlign w:val="top"/>
          </w:tcPr>
          <w:p>
            <w:r>
              <w:t>Type, applicability rules, rule version</w:t>
            </w:r>
          </w:p>
        </w:tc>
        <w:tc>
          <w:tcPr>
            <w:tcW w:type="dxa" w:w="3312"/>
            <w:vAlign w:val="top"/>
          </w:tcPr>
          <w:p>
            <w:r>
              <w:t>Produces compliance instances</w:t>
            </w:r>
          </w:p>
        </w:tc>
      </w:tr>
      <w:tr>
        <w:tc>
          <w:tcPr>
            <w:tcW w:type="dxa" w:w="3312"/>
            <w:vAlign w:val="top"/>
          </w:tcPr>
          <w:p>
            <w:r>
              <w:t>Compliance Instance</w:t>
            </w:r>
          </w:p>
        </w:tc>
        <w:tc>
          <w:tcPr>
            <w:tcW w:type="dxa" w:w="3312"/>
            <w:vAlign w:val="top"/>
          </w:tcPr>
          <w:p>
            <w:r>
              <w:t>Org, period, deadline, status, owner</w:t>
            </w:r>
          </w:p>
        </w:tc>
        <w:tc>
          <w:tcPr>
            <w:tcW w:type="dxa" w:w="3312"/>
            <w:vAlign w:val="top"/>
          </w:tcPr>
          <w:p>
            <w:r>
              <w:t>Links tasks/evidence/submission</w:t>
            </w:r>
          </w:p>
        </w:tc>
      </w:tr>
      <w:tr>
        <w:tc>
          <w:tcPr>
            <w:tcW w:type="dxa" w:w="3312"/>
            <w:vAlign w:val="top"/>
          </w:tcPr>
          <w:p>
            <w:r>
              <w:t>Task</w:t>
            </w:r>
          </w:p>
        </w:tc>
        <w:tc>
          <w:tcPr>
            <w:tcW w:type="dxa" w:w="3312"/>
            <w:vAlign w:val="top"/>
          </w:tcPr>
          <w:p>
            <w:r>
              <w:t>Owner, status, priority, due date</w:t>
            </w:r>
          </w:p>
        </w:tc>
        <w:tc>
          <w:tcPr>
            <w:tcW w:type="dxa" w:w="3312"/>
            <w:vAlign w:val="top"/>
          </w:tcPr>
          <w:p>
            <w:r>
              <w:t>Can link to compliance</w:t>
            </w:r>
          </w:p>
        </w:tc>
      </w:tr>
      <w:tr>
        <w:tc>
          <w:tcPr>
            <w:tcW w:type="dxa" w:w="3312"/>
            <w:vAlign w:val="top"/>
          </w:tcPr>
          <w:p>
            <w:r>
              <w:t>Document</w:t>
            </w:r>
          </w:p>
        </w:tc>
        <w:tc>
          <w:tcPr>
            <w:tcW w:type="dxa" w:w="3312"/>
            <w:vAlign w:val="top"/>
          </w:tcPr>
          <w:p>
            <w:r>
              <w:t>Metadata, version, storage key, expiry</w:t>
            </w:r>
          </w:p>
        </w:tc>
        <w:tc>
          <w:tcPr>
            <w:tcW w:type="dxa" w:w="3312"/>
            <w:vAlign w:val="top"/>
          </w:tcPr>
          <w:p>
            <w:r>
              <w:t>Can link to many business records</w:t>
            </w:r>
          </w:p>
        </w:tc>
      </w:tr>
      <w:tr>
        <w:tc>
          <w:tcPr>
            <w:tcW w:type="dxa" w:w="3312"/>
            <w:vAlign w:val="top"/>
          </w:tcPr>
          <w:p>
            <w:r>
              <w:t>Submission</w:t>
            </w:r>
          </w:p>
        </w:tc>
        <w:tc>
          <w:tcPr>
            <w:tcW w:type="dxa" w:w="3312"/>
            <w:vAlign w:val="top"/>
          </w:tcPr>
          <w:p>
            <w:r>
              <w:t>Filing date, acknowledgement, proof</w:t>
            </w:r>
          </w:p>
        </w:tc>
        <w:tc>
          <w:tcPr>
            <w:tcW w:type="dxa" w:w="3312"/>
            <w:vAlign w:val="top"/>
          </w:tcPr>
          <w:p>
            <w:r>
              <w:t>Belongs to compliance instance</w:t>
            </w:r>
          </w:p>
        </w:tc>
      </w:tr>
      <w:tr>
        <w:tc>
          <w:tcPr>
            <w:tcW w:type="dxa" w:w="3312"/>
            <w:vAlign w:val="top"/>
          </w:tcPr>
          <w:p>
            <w:r>
              <w:t>Notification</w:t>
            </w:r>
          </w:p>
        </w:tc>
        <w:tc>
          <w:tcPr>
            <w:tcW w:type="dxa" w:w="3312"/>
            <w:vAlign w:val="top"/>
          </w:tcPr>
          <w:p>
            <w:r>
              <w:t>Type, channel, recipient, status</w:t>
            </w:r>
          </w:p>
        </w:tc>
        <w:tc>
          <w:tcPr>
            <w:tcW w:type="dxa" w:w="3312"/>
            <w:vAlign w:val="top"/>
          </w:tcPr>
          <w:p>
            <w:r>
              <w:t>References business event</w:t>
            </w:r>
          </w:p>
        </w:tc>
      </w:tr>
      <w:tr>
        <w:tc>
          <w:tcPr>
            <w:tcW w:type="dxa" w:w="3312"/>
            <w:vAlign w:val="top"/>
          </w:tcPr>
          <w:p>
            <w:r>
              <w:t>Audit Log</w:t>
            </w:r>
          </w:p>
        </w:tc>
        <w:tc>
          <w:tcPr>
            <w:tcW w:type="dxa" w:w="3312"/>
            <w:vAlign w:val="top"/>
          </w:tcPr>
          <w:p>
            <w:r>
              <w:t>Actor, action, object, timestamp, metadata</w:t>
            </w:r>
          </w:p>
        </w:tc>
        <w:tc>
          <w:tcPr>
            <w:tcW w:type="dxa" w:w="3312"/>
            <w:vAlign w:val="top"/>
          </w:tcPr>
          <w:p>
            <w:r>
              <w:t>Cross-cutting</w:t>
            </w:r>
          </w:p>
        </w:tc>
      </w:tr>
      <w:tr>
        <w:tc>
          <w:tcPr>
            <w:tcW w:type="dxa" w:w="3312"/>
            <w:vAlign w:val="top"/>
          </w:tcPr>
          <w:p>
            <w:r>
              <w:t>Subscription</w:t>
            </w:r>
          </w:p>
        </w:tc>
        <w:tc>
          <w:tcPr>
            <w:tcW w:type="dxa" w:w="3312"/>
            <w:vAlign w:val="top"/>
          </w:tcPr>
          <w:p>
            <w:r>
              <w:t>Plan, status, billing period</w:t>
            </w:r>
          </w:p>
        </w:tc>
        <w:tc>
          <w:tcPr>
            <w:tcW w:type="dxa" w:w="3312"/>
            <w:vAlign w:val="top"/>
          </w:tcPr>
          <w:p>
            <w:r>
              <w:t>Belongs to tenant</w:t>
            </w:r>
          </w:p>
        </w:tc>
      </w:tr>
      <w:tr>
        <w:tc>
          <w:tcPr>
            <w:tcW w:type="dxa" w:w="3312"/>
            <w:vAlign w:val="top"/>
          </w:tcPr>
          <w:p>
            <w:r>
              <w:t>Workflow</w:t>
            </w:r>
          </w:p>
        </w:tc>
        <w:tc>
          <w:tcPr>
            <w:tcW w:type="dxa" w:w="3312"/>
            <w:vAlign w:val="top"/>
          </w:tcPr>
          <w:p>
            <w:r>
              <w:t>Stages, transitions, rules</w:t>
            </w:r>
          </w:p>
        </w:tc>
        <w:tc>
          <w:tcPr>
            <w:tcW w:type="dxa" w:w="3312"/>
            <w:vAlign w:val="top"/>
          </w:tcPr>
          <w:p>
            <w:r>
              <w:t>Can be used by compliance types</w:t>
            </w:r>
          </w:p>
        </w:tc>
      </w:tr>
      <w:tr>
        <w:tc>
          <w:tcPr>
            <w:tcW w:type="dxa" w:w="3312"/>
            <w:vAlign w:val="top"/>
          </w:tcPr>
          <w:p>
            <w:r>
              <w:t>Rule Version</w:t>
            </w:r>
          </w:p>
        </w:tc>
        <w:tc>
          <w:tcPr>
            <w:tcW w:type="dxa" w:w="3312"/>
            <w:vAlign w:val="top"/>
          </w:tcPr>
          <w:p>
            <w:r>
              <w:t>Effective date, applicability logic</w:t>
            </w:r>
          </w:p>
        </w:tc>
        <w:tc>
          <w:tcPr>
            <w:tcW w:type="dxa" w:w="3312"/>
            <w:vAlign w:val="top"/>
          </w:tcPr>
          <w:p>
            <w:r>
              <w:t>Used by compliance definitions</w:t>
            </w:r>
          </w:p>
        </w:tc>
      </w:tr>
    </w:tbl>
    <w:p>
      <w:pPr>
        <w:pStyle w:val="Heading1"/>
      </w:pPr>
      <w:r>
        <w:t>10. UI/UX Requirements</w:t>
      </w:r>
    </w:p>
    <w:p>
      <w:pPr>
        <w:pStyle w:val="ListBullet"/>
      </w:pPr>
      <w:r>
        <w:t>Global navigation should expose Dashboard, Compliance, Calendar, Tasks, Documents, Reports and administration.</w:t>
      </w:r>
    </w:p>
    <w:p>
      <w:pPr>
        <w:pStyle w:val="ListBullet"/>
      </w:pPr>
      <w:r>
        <w:t>Dashboard must be action-oriented: show what requires attention rather than only statistics.</w:t>
      </w:r>
    </w:p>
    <w:p>
      <w:pPr>
        <w:pStyle w:val="ListBullet"/>
      </w:pPr>
      <w:r>
        <w:t>Every table must support search, filtering, sorting and pagination where applicable.</w:t>
      </w:r>
    </w:p>
    <w:p>
      <w:pPr>
        <w:pStyle w:val="ListBullet"/>
      </w:pPr>
      <w:r>
        <w:t>Every form must have validation, unsaved-change handling and clear success/error feedback.</w:t>
      </w:r>
    </w:p>
    <w:p>
      <w:pPr>
        <w:pStyle w:val="ListBullet"/>
      </w:pPr>
      <w:r>
        <w:t>Detail pages should expose context, status, owner, deadlines, evidence and history without excessive navigation.</w:t>
      </w:r>
    </w:p>
    <w:p>
      <w:pPr>
        <w:pStyle w:val="ListBullet"/>
      </w:pPr>
      <w:r>
        <w:t>Critical destructive actions require confirmation and explain consequences.</w:t>
      </w:r>
    </w:p>
    <w:p>
      <w:pPr>
        <w:pStyle w:val="ListBullet"/>
      </w:pPr>
      <w:r>
        <w:t>Use consistent badges for status and priority.</w:t>
      </w:r>
    </w:p>
    <w:p>
      <w:pPr>
        <w:pStyle w:val="ListBullet"/>
      </w:pPr>
      <w:r>
        <w:t>Provide breadcrumbs on deep pages.</w:t>
      </w:r>
    </w:p>
    <w:p>
      <w:pPr>
        <w:pStyle w:val="ListBullet"/>
      </w:pPr>
      <w:r>
        <w:t>Support keyboard-friendly dialogs and drawers.</w:t>
      </w:r>
    </w:p>
    <w:p>
      <w:pPr>
        <w:pStyle w:val="ListBullet"/>
      </w:pPr>
      <w:r>
        <w:t>Do not hide important compliance status behind hover-only interactions.</w:t>
      </w:r>
    </w:p>
    <w:p>
      <w:pPr>
        <w:pStyle w:val="ListBullet"/>
      </w:pPr>
      <w:r>
        <w:t>Provide an accessible alternative to charts through tables or summarized values.</w:t>
      </w:r>
    </w:p>
    <w:p>
      <w:pPr>
        <w:pStyle w:val="Heading1"/>
      </w:pPr>
      <w:r>
        <w:t>11. API &amp; Integration Expectations for Future SDD</w:t>
      </w:r>
    </w:p>
    <w:p>
      <w:r>
        <w:t>Although this document is not an API specification, the future SDD should derive service boundaries and API contracts from these capabilities.</w:t>
      </w:r>
    </w:p>
    <w:p>
      <w:pPr>
        <w:pStyle w:val="ListBullet"/>
      </w:pPr>
      <w:r>
        <w:t>Authentication and identity service</w:t>
      </w:r>
    </w:p>
    <w:p>
      <w:pPr>
        <w:pStyle w:val="ListBullet"/>
      </w:pPr>
      <w:r>
        <w:t>Tenant and organization service</w:t>
      </w:r>
    </w:p>
    <w:p>
      <w:pPr>
        <w:pStyle w:val="ListBullet"/>
      </w:pPr>
      <w:r>
        <w:t>Compliance catalogue/rules service</w:t>
      </w:r>
    </w:p>
    <w:p>
      <w:pPr>
        <w:pStyle w:val="ListBullet"/>
      </w:pPr>
      <w:r>
        <w:t>Compliance instance service</w:t>
      </w:r>
    </w:p>
    <w:p>
      <w:pPr>
        <w:pStyle w:val="ListBullet"/>
      </w:pPr>
      <w:r>
        <w:t>Task/workflow service</w:t>
      </w:r>
    </w:p>
    <w:p>
      <w:pPr>
        <w:pStyle w:val="ListBullet"/>
      </w:pPr>
      <w:r>
        <w:t>Document metadata and storage service</w:t>
      </w:r>
    </w:p>
    <w:p>
      <w:pPr>
        <w:pStyle w:val="ListBullet"/>
      </w:pPr>
      <w:r>
        <w:t>Notification service</w:t>
      </w:r>
    </w:p>
    <w:p>
      <w:pPr>
        <w:pStyle w:val="ListBullet"/>
      </w:pPr>
      <w:r>
        <w:t>Reporting service</w:t>
      </w:r>
    </w:p>
    <w:p>
      <w:pPr>
        <w:pStyle w:val="ListBullet"/>
      </w:pPr>
      <w:r>
        <w:t>Subscription/entitlement service</w:t>
      </w:r>
    </w:p>
    <w:p>
      <w:pPr>
        <w:pStyle w:val="ListBullet"/>
      </w:pPr>
      <w:r>
        <w:t>Audit service</w:t>
      </w:r>
    </w:p>
    <w:p>
      <w:pPr>
        <w:pStyle w:val="ListBullet"/>
      </w:pPr>
      <w:r>
        <w:t>AI orchestration service</w:t>
      </w:r>
    </w:p>
    <w:p>
      <w:pPr>
        <w:pStyle w:val="ListBullet"/>
      </w:pPr>
      <w:r>
        <w:t>Integration connector service</w:t>
      </w:r>
    </w:p>
    <w:p>
      <w:r>
        <w:t>All APIs should carry authenticated tenant context and enforce authorization server-side. Client-side permission checks are for UX only and must never be considered a security boundary.</w:t>
      </w:r>
    </w:p>
    <w:p>
      <w:pPr>
        <w:pStyle w:val="Heading1"/>
      </w:pPr>
      <w:r>
        <w:t>12. Automation Requirements</w:t>
      </w:r>
    </w:p>
    <w:p>
      <w:pPr>
        <w:pStyle w:val="ListBullet"/>
      </w:pPr>
      <w:r>
        <w:t>Daily scheduler identifies upcoming deadlines.</w:t>
      </w:r>
    </w:p>
    <w:p>
      <w:pPr>
        <w:pStyle w:val="ListBullet"/>
      </w:pPr>
      <w:r>
        <w:t>Reminder engine calculates notifications based on configured schedules.</w:t>
      </w:r>
    </w:p>
    <w:p>
      <w:pPr>
        <w:pStyle w:val="ListBullet"/>
      </w:pPr>
      <w:r>
        <w:t>Overdue job identifies unresolved obligations after deadline.</w:t>
      </w:r>
    </w:p>
    <w:p>
      <w:pPr>
        <w:pStyle w:val="ListBullet"/>
      </w:pPr>
      <w:r>
        <w:t>Escalation job notifies configured managers.</w:t>
      </w:r>
    </w:p>
    <w:p>
      <w:pPr>
        <w:pStyle w:val="ListBullet"/>
      </w:pPr>
      <w:r>
        <w:t>Recurring compliance job creates the next applicable instance.</w:t>
      </w:r>
    </w:p>
    <w:p>
      <w:pPr>
        <w:pStyle w:val="ListBullet"/>
      </w:pPr>
      <w:r>
        <w:t>Document expiry job creates renewal alerts.</w:t>
      </w:r>
    </w:p>
    <w:p>
      <w:pPr>
        <w:pStyle w:val="ListBullet"/>
      </w:pPr>
      <w:r>
        <w:t>Subscription job evaluates entitlement status.</w:t>
      </w:r>
    </w:p>
    <w:p>
      <w:pPr>
        <w:pStyle w:val="ListBullet"/>
      </w:pPr>
      <w:r>
        <w:t>Notification worker handles channel delivery and retry.</w:t>
      </w:r>
    </w:p>
    <w:p>
      <w:pPr>
        <w:pStyle w:val="ListBullet"/>
      </w:pPr>
      <w:r>
        <w:t>Bulk import worker processes large files asynchronously.</w:t>
      </w:r>
    </w:p>
    <w:p>
      <w:pPr>
        <w:pStyle w:val="ListBullet"/>
      </w:pPr>
      <w:r>
        <w:t>OCR/AI jobs must run asynchronously and store processing status.</w:t>
      </w:r>
    </w:p>
    <w:p>
      <w:pPr>
        <w:pStyle w:val="Heading1"/>
      </w:pPr>
      <w:r>
        <w:t>13. AI Requirements — Future</w:t>
      </w:r>
    </w:p>
    <w:p>
      <w:pPr>
        <w:pStyle w:val="Heading2"/>
      </w:pPr>
      <w:r>
        <w:t>13.1 AI assistant</w:t>
      </w:r>
    </w:p>
    <w:p>
      <w:pPr>
        <w:pStyle w:val="ListBullet"/>
      </w:pPr>
      <w:r>
        <w:t>Answer questions using approved compliance knowledge sources.</w:t>
      </w:r>
    </w:p>
    <w:p>
      <w:pPr>
        <w:pStyle w:val="ListBullet"/>
      </w:pPr>
      <w:r>
        <w:t>Display source references where available.</w:t>
      </w:r>
    </w:p>
    <w:p>
      <w:pPr>
        <w:pStyle w:val="ListBullet"/>
      </w:pPr>
      <w:r>
        <w:t>State uncertainty rather than fabricate a requirement.</w:t>
      </w:r>
    </w:p>
    <w:p>
      <w:pPr>
        <w:pStyle w:val="ListBullet"/>
      </w:pPr>
      <w:r>
        <w:t>Do not autonomously file or approve compliance.</w:t>
      </w:r>
    </w:p>
    <w:p>
      <w:pPr>
        <w:pStyle w:val="ListBullet"/>
      </w:pPr>
      <w:r>
        <w:t>Keep organization data isolated in retrieval context.</w:t>
      </w:r>
    </w:p>
    <w:p>
      <w:pPr>
        <w:pStyle w:val="ListBullet"/>
      </w:pPr>
      <w:r>
        <w:t>Log prompts/outputs according to privacy policy and configurable retention.</w:t>
      </w:r>
    </w:p>
    <w:p>
      <w:pPr>
        <w:pStyle w:val="Heading2"/>
      </w:pPr>
      <w:r>
        <w:t>13.2 AI document intelligence</w:t>
      </w:r>
    </w:p>
    <w:p>
      <w:pPr>
        <w:pStyle w:val="ListBullet"/>
      </w:pPr>
      <w:r>
        <w:t>Classify document type.</w:t>
      </w:r>
    </w:p>
    <w:p>
      <w:pPr>
        <w:pStyle w:val="ListBullet"/>
      </w:pPr>
      <w:r>
        <w:t>Extract fields with confidence scores.</w:t>
      </w:r>
    </w:p>
    <w:p>
      <w:pPr>
        <w:pStyle w:val="ListBullet"/>
      </w:pPr>
      <w:r>
        <w:t>Detect missing expected evidence.</w:t>
      </w:r>
    </w:p>
    <w:p>
      <w:pPr>
        <w:pStyle w:val="ListBullet"/>
      </w:pPr>
      <w:r>
        <w:t>Summarize long documents.</w:t>
      </w:r>
    </w:p>
    <w:p>
      <w:pPr>
        <w:pStyle w:val="ListBullet"/>
      </w:pPr>
      <w:r>
        <w:t>Flag potential inconsistencies for human review.</w:t>
      </w:r>
    </w:p>
    <w:p>
      <w:pPr>
        <w:pStyle w:val="ListBullet"/>
      </w:pPr>
      <w:r>
        <w:t>Never overwrite authoritative structured data without user confirmation.</w:t>
      </w:r>
    </w:p>
    <w:p>
      <w:pPr>
        <w:pStyle w:val="Heading1"/>
      </w:pPr>
      <w:r>
        <w:t>14. Notifications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Event</w:t>
            </w:r>
          </w:p>
        </w:tc>
        <w:tc>
          <w:tcPr>
            <w:tcW w:type="dxa" w:w="2484"/>
            <w:vAlign w:val="center"/>
          </w:tcPr>
          <w:p>
            <w:r>
              <w:rPr>
                <w:b/>
              </w:rPr>
              <w:t>Primary recipient</w:t>
            </w:r>
          </w:p>
        </w:tc>
        <w:tc>
          <w:tcPr>
            <w:tcW w:type="dxa" w:w="2484"/>
            <w:vAlign w:val="center"/>
          </w:tcPr>
          <w:p>
            <w:r>
              <w:rPr>
                <w:b/>
              </w:rPr>
              <w:t>Channel</w:t>
            </w:r>
          </w:p>
        </w:tc>
        <w:tc>
          <w:tcPr>
            <w:tcW w:type="dxa" w:w="2484"/>
            <w:vAlign w:val="center"/>
          </w:tcPr>
          <w:p>
            <w:r>
              <w:rPr>
                <w:b/>
              </w:rPr>
              <w:t>Priority</w:t>
            </w:r>
          </w:p>
        </w:tc>
      </w:tr>
      <w:tr>
        <w:tc>
          <w:tcPr>
            <w:tcW w:type="dxa" w:w="2484"/>
            <w:vAlign w:val="top"/>
          </w:tcPr>
          <w:p>
            <w:r>
              <w:t>Compliance due in configured window</w:t>
            </w:r>
          </w:p>
        </w:tc>
        <w:tc>
          <w:tcPr>
            <w:tcW w:type="dxa" w:w="2484"/>
            <w:vAlign w:val="top"/>
          </w:tcPr>
          <w:p>
            <w:r>
              <w:t>Owner</w:t>
            </w:r>
          </w:p>
        </w:tc>
        <w:tc>
          <w:tcPr>
            <w:tcW w:type="dxa" w:w="2484"/>
            <w:vAlign w:val="top"/>
          </w:tcPr>
          <w:p>
            <w:r>
              <w:t>In-app + Email; WhatsApp if enabled</w:t>
            </w:r>
          </w:p>
        </w:tc>
        <w:tc>
          <w:tcPr>
            <w:tcW w:type="dxa" w:w="2484"/>
            <w:vAlign w:val="top"/>
          </w:tcPr>
          <w:p>
            <w:r>
              <w:t>Medium/High</w:t>
            </w:r>
          </w:p>
        </w:tc>
      </w:tr>
      <w:tr>
        <w:tc>
          <w:tcPr>
            <w:tcW w:type="dxa" w:w="2484"/>
            <w:vAlign w:val="top"/>
          </w:tcPr>
          <w:p>
            <w:r>
              <w:t>Compliance overdue</w:t>
            </w:r>
          </w:p>
        </w:tc>
        <w:tc>
          <w:tcPr>
            <w:tcW w:type="dxa" w:w="2484"/>
            <w:vAlign w:val="top"/>
          </w:tcPr>
          <w:p>
            <w:r>
              <w:t>Owner + Manager</w:t>
            </w:r>
          </w:p>
        </w:tc>
        <w:tc>
          <w:tcPr>
            <w:tcW w:type="dxa" w:w="2484"/>
            <w:vAlign w:val="top"/>
          </w:tcPr>
          <w:p>
            <w:r>
              <w:t>In-app + Email</w:t>
            </w:r>
          </w:p>
        </w:tc>
        <w:tc>
          <w:tcPr>
            <w:tcW w:type="dxa" w:w="2484"/>
            <w:vAlign w:val="top"/>
          </w:tcPr>
          <w:p>
            <w:r>
              <w:t>High</w:t>
            </w:r>
          </w:p>
        </w:tc>
      </w:tr>
      <w:tr>
        <w:tc>
          <w:tcPr>
            <w:tcW w:type="dxa" w:w="2484"/>
            <w:vAlign w:val="top"/>
          </w:tcPr>
          <w:p>
            <w:r>
              <w:t>Task assigned</w:t>
            </w:r>
          </w:p>
        </w:tc>
        <w:tc>
          <w:tcPr>
            <w:tcW w:type="dxa" w:w="2484"/>
            <w:vAlign w:val="top"/>
          </w:tcPr>
          <w:p>
            <w:r>
              <w:t>Assignee</w:t>
            </w:r>
          </w:p>
        </w:tc>
        <w:tc>
          <w:tcPr>
            <w:tcW w:type="dxa" w:w="2484"/>
            <w:vAlign w:val="top"/>
          </w:tcPr>
          <w:p>
            <w:r>
              <w:t>In-app + Email</w:t>
            </w:r>
          </w:p>
        </w:tc>
        <w:tc>
          <w:tcPr>
            <w:tcW w:type="dxa" w:w="2484"/>
            <w:vAlign w:val="top"/>
          </w:tcPr>
          <w:p>
            <w:r>
              <w:t>Medium</w:t>
            </w:r>
          </w:p>
        </w:tc>
      </w:tr>
      <w:tr>
        <w:tc>
          <w:tcPr>
            <w:tcW w:type="dxa" w:w="2484"/>
            <w:vAlign w:val="top"/>
          </w:tcPr>
          <w:p>
            <w:r>
              <w:t>Approval requested</w:t>
            </w:r>
          </w:p>
        </w:tc>
        <w:tc>
          <w:tcPr>
            <w:tcW w:type="dxa" w:w="2484"/>
            <w:vAlign w:val="top"/>
          </w:tcPr>
          <w:p>
            <w:r>
              <w:t>Reviewer</w:t>
            </w:r>
          </w:p>
        </w:tc>
        <w:tc>
          <w:tcPr>
            <w:tcW w:type="dxa" w:w="2484"/>
            <w:vAlign w:val="top"/>
          </w:tcPr>
          <w:p>
            <w:r>
              <w:t>In-app + Email</w:t>
            </w:r>
          </w:p>
        </w:tc>
        <w:tc>
          <w:tcPr>
            <w:tcW w:type="dxa" w:w="2484"/>
            <w:vAlign w:val="top"/>
          </w:tcPr>
          <w:p>
            <w:r>
              <w:t>High</w:t>
            </w:r>
          </w:p>
        </w:tc>
      </w:tr>
      <w:tr>
        <w:tc>
          <w:tcPr>
            <w:tcW w:type="dxa" w:w="2484"/>
            <w:vAlign w:val="top"/>
          </w:tcPr>
          <w:p>
            <w:r>
              <w:t>Document expiring</w:t>
            </w:r>
          </w:p>
        </w:tc>
        <w:tc>
          <w:tcPr>
            <w:tcW w:type="dxa" w:w="2484"/>
            <w:vAlign w:val="top"/>
          </w:tcPr>
          <w:p>
            <w:r>
              <w:t>Document owner/admin</w:t>
            </w:r>
          </w:p>
        </w:tc>
        <w:tc>
          <w:tcPr>
            <w:tcW w:type="dxa" w:w="2484"/>
            <w:vAlign w:val="top"/>
          </w:tcPr>
          <w:p>
            <w:r>
              <w:t>In-app + Email</w:t>
            </w:r>
          </w:p>
        </w:tc>
        <w:tc>
          <w:tcPr>
            <w:tcW w:type="dxa" w:w="2484"/>
            <w:vAlign w:val="top"/>
          </w:tcPr>
          <w:p>
            <w:r>
              <w:t>Medium/High</w:t>
            </w:r>
          </w:p>
        </w:tc>
      </w:tr>
      <w:tr>
        <w:tc>
          <w:tcPr>
            <w:tcW w:type="dxa" w:w="2484"/>
            <w:vAlign w:val="top"/>
          </w:tcPr>
          <w:p>
            <w:r>
              <w:t>Submission completed</w:t>
            </w:r>
          </w:p>
        </w:tc>
        <w:tc>
          <w:tcPr>
            <w:tcW w:type="dxa" w:w="2484"/>
            <w:vAlign w:val="top"/>
          </w:tcPr>
          <w:p>
            <w:r>
              <w:t>Owner + Admin</w:t>
            </w:r>
          </w:p>
        </w:tc>
        <w:tc>
          <w:tcPr>
            <w:tcW w:type="dxa" w:w="2484"/>
            <w:vAlign w:val="top"/>
          </w:tcPr>
          <w:p>
            <w:r>
              <w:t>In-app + Email</w:t>
            </w:r>
          </w:p>
        </w:tc>
        <w:tc>
          <w:tcPr>
            <w:tcW w:type="dxa" w:w="2484"/>
            <w:vAlign w:val="top"/>
          </w:tcPr>
          <w:p>
            <w:r>
              <w:t>Medium</w:t>
            </w:r>
          </w:p>
        </w:tc>
      </w:tr>
      <w:tr>
        <w:tc>
          <w:tcPr>
            <w:tcW w:type="dxa" w:w="2484"/>
            <w:vAlign w:val="top"/>
          </w:tcPr>
          <w:p>
            <w:r>
              <w:t>Invitation</w:t>
            </w:r>
          </w:p>
        </w:tc>
        <w:tc>
          <w:tcPr>
            <w:tcW w:type="dxa" w:w="2484"/>
            <w:vAlign w:val="top"/>
          </w:tcPr>
          <w:p>
            <w:r>
              <w:t>Invitee</w:t>
            </w:r>
          </w:p>
        </w:tc>
        <w:tc>
          <w:tcPr>
            <w:tcW w:type="dxa" w:w="2484"/>
            <w:vAlign w:val="top"/>
          </w:tcPr>
          <w:p>
            <w:r>
              <w:t>Email</w:t>
            </w:r>
          </w:p>
        </w:tc>
        <w:tc>
          <w:tcPr>
            <w:tcW w:type="dxa" w:w="2484"/>
            <w:vAlign w:val="top"/>
          </w:tcPr>
          <w:p>
            <w:r>
              <w:t>Medium</w:t>
            </w:r>
          </w:p>
        </w:tc>
      </w:tr>
      <w:tr>
        <w:tc>
          <w:tcPr>
            <w:tcW w:type="dxa" w:w="2484"/>
            <w:vAlign w:val="top"/>
          </w:tcPr>
          <w:p>
            <w:r>
              <w:t>Security event</w:t>
            </w:r>
          </w:p>
        </w:tc>
        <w:tc>
          <w:tcPr>
            <w:tcW w:type="dxa" w:w="2484"/>
            <w:vAlign w:val="top"/>
          </w:tcPr>
          <w:p>
            <w:r>
              <w:t>User/Admin</w:t>
            </w:r>
          </w:p>
        </w:tc>
        <w:tc>
          <w:tcPr>
            <w:tcW w:type="dxa" w:w="2484"/>
            <w:vAlign w:val="top"/>
          </w:tcPr>
          <w:p>
            <w:r>
              <w:t>In-app + Email</w:t>
            </w:r>
          </w:p>
        </w:tc>
        <w:tc>
          <w:tcPr>
            <w:tcW w:type="dxa" w:w="2484"/>
            <w:vAlign w:val="top"/>
          </w:tcPr>
          <w:p>
            <w:r>
              <w:t>High/Critical</w:t>
            </w:r>
          </w:p>
        </w:tc>
      </w:tr>
    </w:tbl>
    <w:p>
      <w:pPr>
        <w:pStyle w:val="Heading1"/>
      </w:pPr>
      <w:r>
        <w:t>15. Reporting Requirements</w:t>
      </w:r>
    </w:p>
    <w:p>
      <w:pPr>
        <w:pStyle w:val="ListBullet"/>
      </w:pPr>
      <w:r>
        <w:t>Compliance health summary.</w:t>
      </w:r>
    </w:p>
    <w:p>
      <w:pPr>
        <w:pStyle w:val="ListBullet"/>
      </w:pPr>
      <w:r>
        <w:t>Compliance by status.</w:t>
      </w:r>
    </w:p>
    <w:p>
      <w:pPr>
        <w:pStyle w:val="ListBullet"/>
      </w:pPr>
      <w:r>
        <w:t>Overdue compliance.</w:t>
      </w:r>
    </w:p>
    <w:p>
      <w:pPr>
        <w:pStyle w:val="ListBullet"/>
      </w:pPr>
      <w:r>
        <w:t>Upcoming 30/60/90-day obligations.</w:t>
      </w:r>
    </w:p>
    <w:p>
      <w:pPr>
        <w:pStyle w:val="ListBullet"/>
      </w:pPr>
      <w:r>
        <w:t>Compliance by owner.</w:t>
      </w:r>
    </w:p>
    <w:p>
      <w:pPr>
        <w:pStyle w:val="ListBullet"/>
      </w:pPr>
      <w:r>
        <w:t>Compliance by category.</w:t>
      </w:r>
    </w:p>
    <w:p>
      <w:pPr>
        <w:pStyle w:val="ListBullet"/>
      </w:pPr>
      <w:r>
        <w:t>Document expiry.</w:t>
      </w:r>
    </w:p>
    <w:p>
      <w:pPr>
        <w:pStyle w:val="ListBullet"/>
      </w:pPr>
      <w:r>
        <w:t>Audit activity.</w:t>
      </w:r>
    </w:p>
    <w:p>
      <w:pPr>
        <w:pStyle w:val="ListBullet"/>
      </w:pPr>
      <w:r>
        <w:t>Task completion performance.</w:t>
      </w:r>
    </w:p>
    <w:p>
      <w:pPr>
        <w:pStyle w:val="ListBullet"/>
      </w:pPr>
      <w:r>
        <w:t>Organization portfolio health for consultants.</w:t>
      </w:r>
    </w:p>
    <w:p>
      <w:pPr>
        <w:pStyle w:val="ListBullet"/>
      </w:pPr>
      <w:r>
        <w:t>Historical year-over-year compliance performance.</w:t>
      </w:r>
    </w:p>
    <w:p>
      <w:pPr>
        <w:pStyle w:val="ListBullet"/>
      </w:pPr>
      <w:r>
        <w:t>Report filters must be preserved in export metadata.</w:t>
      </w:r>
    </w:p>
    <w:p>
      <w:pPr>
        <w:pStyle w:val="Heading1"/>
      </w:pPr>
      <w:r>
        <w:t>16. SaaS &amp; Multi-Tenancy Requirements</w:t>
      </w:r>
    </w:p>
    <w:p>
      <w:pPr>
        <w:pStyle w:val="ListBullet"/>
      </w:pPr>
      <w:r>
        <w:t>Every tenant has isolated data and configuration.</w:t>
      </w:r>
    </w:p>
    <w:p>
      <w:pPr>
        <w:pStyle w:val="ListBullet"/>
      </w:pPr>
      <w:r>
        <w:t>Tenant-specific branding can be supported later.</w:t>
      </w:r>
    </w:p>
    <w:p>
      <w:pPr>
        <w:pStyle w:val="ListBullet"/>
      </w:pPr>
      <w:r>
        <w:t>Tenant-specific compliance settings may override defaults only through authorized configuration.</w:t>
      </w:r>
    </w:p>
    <w:p>
      <w:pPr>
        <w:pStyle w:val="ListBullet"/>
      </w:pPr>
      <w:r>
        <w:t>Plans control feature entitlements, user limits, storage and automation quotas.</w:t>
      </w:r>
    </w:p>
    <w:p>
      <w:pPr>
        <w:pStyle w:val="ListBullet"/>
      </w:pPr>
      <w:r>
        <w:t>Consultant tenants can manage multiple client organizations.</w:t>
      </w:r>
    </w:p>
    <w:p>
      <w:pPr>
        <w:pStyle w:val="ListBullet"/>
      </w:pPr>
      <w:r>
        <w:t>Organization-level permissions must prevent accidental cross-client access.</w:t>
      </w:r>
    </w:p>
    <w:p>
      <w:pPr>
        <w:pStyle w:val="ListBullet"/>
      </w:pPr>
      <w:r>
        <w:t>Platform administrators require controlled support access with audit logging.</w:t>
      </w:r>
    </w:p>
    <w:p>
      <w:pPr>
        <w:pStyle w:val="ListBullet"/>
      </w:pPr>
      <w:r>
        <w:t>Tenant deletion must have a defined retention/export workflow.</w:t>
      </w:r>
    </w:p>
    <w:p>
      <w:pPr>
        <w:pStyle w:val="Heading1"/>
      </w:pPr>
      <w:r>
        <w:t>17. Subscription &amp; Entitlement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Plan concept</w:t>
            </w:r>
          </w:p>
        </w:tc>
        <w:tc>
          <w:tcPr>
            <w:tcW w:type="dxa" w:w="4968"/>
            <w:vAlign w:val="center"/>
          </w:tcPr>
          <w:p>
            <w:r>
              <w:rPr>
                <w:b/>
              </w:rPr>
              <w:t>Potential entitlement</w:t>
            </w:r>
          </w:p>
        </w:tc>
      </w:tr>
      <w:tr>
        <w:tc>
          <w:tcPr>
            <w:tcW w:type="dxa" w:w="4968"/>
            <w:vAlign w:val="top"/>
          </w:tcPr>
          <w:p>
            <w:r>
              <w:t>Starter</w:t>
            </w:r>
          </w:p>
        </w:tc>
        <w:tc>
          <w:tcPr>
            <w:tcW w:type="dxa" w:w="4968"/>
            <w:vAlign w:val="top"/>
          </w:tcPr>
          <w:p>
            <w:r>
              <w:t>Single organization, limited users/storage, core compliance</w:t>
            </w:r>
          </w:p>
        </w:tc>
      </w:tr>
      <w:tr>
        <w:tc>
          <w:tcPr>
            <w:tcW w:type="dxa" w:w="4968"/>
            <w:vAlign w:val="top"/>
          </w:tcPr>
          <w:p>
            <w:r>
              <w:t>Professional</w:t>
            </w:r>
          </w:p>
        </w:tc>
        <w:tc>
          <w:tcPr>
            <w:tcW w:type="dxa" w:w="4968"/>
            <w:vAlign w:val="top"/>
          </w:tcPr>
          <w:p>
            <w:r>
              <w:t>More users, automation, advanced reports</w:t>
            </w:r>
          </w:p>
        </w:tc>
      </w:tr>
      <w:tr>
        <w:tc>
          <w:tcPr>
            <w:tcW w:type="dxa" w:w="4968"/>
            <w:vAlign w:val="top"/>
          </w:tcPr>
          <w:p>
            <w:r>
              <w:t>Business</w:t>
            </w:r>
          </w:p>
        </w:tc>
        <w:tc>
          <w:tcPr>
            <w:tcW w:type="dxa" w:w="4968"/>
            <w:vAlign w:val="top"/>
          </w:tcPr>
          <w:p>
            <w:r>
              <w:t>Multiple organizations, workflow, integrations</w:t>
            </w:r>
          </w:p>
        </w:tc>
      </w:tr>
      <w:tr>
        <w:tc>
          <w:tcPr>
            <w:tcW w:type="dxa" w:w="4968"/>
            <w:vAlign w:val="top"/>
          </w:tcPr>
          <w:p>
            <w:r>
              <w:t>Enterprise</w:t>
            </w:r>
          </w:p>
        </w:tc>
        <w:tc>
          <w:tcPr>
            <w:tcW w:type="dxa" w:w="4968"/>
            <w:vAlign w:val="top"/>
          </w:tcPr>
          <w:p>
            <w:r>
              <w:t>SSO, advanced security, high limits, SLA/custom controls</w:t>
            </w:r>
          </w:p>
        </w:tc>
      </w:tr>
    </w:tbl>
    <w:p>
      <w:pPr>
        <w:pStyle w:val="ListBullet"/>
      </w:pPr>
      <w:r>
        <w:t>Feature availability must be driven by entitlements rather than scattered UI conditions.</w:t>
      </w:r>
    </w:p>
    <w:p>
      <w:pPr>
        <w:pStyle w:val="ListBullet"/>
      </w:pPr>
      <w:r>
        <w:t>Entitlements must be evaluated server-side once backend exists.</w:t>
      </w:r>
    </w:p>
    <w:p>
      <w:pPr>
        <w:pStyle w:val="ListBullet"/>
      </w:pPr>
      <w:r>
        <w:t>Grace periods and subscription failure behavior must be explicitly defined.</w:t>
      </w:r>
    </w:p>
    <w:p>
      <w:pPr>
        <w:pStyle w:val="ListBullet"/>
      </w:pPr>
      <w:r>
        <w:t>Data export should be available before irreversible tenant closure.</w:t>
      </w:r>
    </w:p>
    <w:p>
      <w:pPr>
        <w:pStyle w:val="Heading1"/>
      </w:pPr>
      <w:r>
        <w:t>18. Error Handling &amp; Recovery</w:t>
      </w:r>
    </w:p>
    <w:p>
      <w:pPr>
        <w:pStyle w:val="ListBullet"/>
      </w:pPr>
      <w:r>
        <w:t>All user actions should produce understandable errors.</w:t>
      </w:r>
    </w:p>
    <w:p>
      <w:pPr>
        <w:pStyle w:val="ListBullet"/>
      </w:pPr>
      <w:r>
        <w:t>Network failures must not silently lose form input.</w:t>
      </w:r>
    </w:p>
    <w:p>
      <w:pPr>
        <w:pStyle w:val="ListBullet"/>
      </w:pPr>
      <w:r>
        <w:t>Long-running operations need progress/status.</w:t>
      </w:r>
    </w:p>
    <w:p>
      <w:pPr>
        <w:pStyle w:val="ListBullet"/>
      </w:pPr>
      <w:r>
        <w:t>Retryable provider failures must be retried safely.</w:t>
      </w:r>
    </w:p>
    <w:p>
      <w:pPr>
        <w:pStyle w:val="ListBullet"/>
      </w:pPr>
      <w:r>
        <w:t>Duplicate submissions must be idempotent where possible.</w:t>
      </w:r>
    </w:p>
    <w:p>
      <w:pPr>
        <w:pStyle w:val="ListBullet"/>
      </w:pPr>
      <w:r>
        <w:t>File upload failures must allow retry.</w:t>
      </w:r>
    </w:p>
    <w:p>
      <w:pPr>
        <w:pStyle w:val="ListBullet"/>
      </w:pPr>
      <w:r>
        <w:t>Bulk operations must provide a result report with successes and failures.</w:t>
      </w:r>
    </w:p>
    <w:p>
      <w:pPr>
        <w:pStyle w:val="ListBullet"/>
      </w:pPr>
      <w:r>
        <w:t>System errors must expose a support reference ID rather than internal stack traces.</w:t>
      </w:r>
    </w:p>
    <w:p>
      <w:pPr>
        <w:pStyle w:val="Heading1"/>
      </w:pPr>
      <w:r>
        <w:t>19. QA &amp; Acceptance Strategy</w:t>
      </w:r>
    </w:p>
    <w:p>
      <w:pPr>
        <w:pStyle w:val="Heading2"/>
      </w:pPr>
      <w:r>
        <w:t>19.1 Functional testing</w:t>
      </w:r>
    </w:p>
    <w:p>
      <w:pPr>
        <w:pStyle w:val="ListBullet"/>
      </w:pPr>
      <w:r>
        <w:t>Happy path for every core workflow.</w:t>
      </w:r>
    </w:p>
    <w:p>
      <w:pPr>
        <w:pStyle w:val="ListBullet"/>
      </w:pPr>
      <w:r>
        <w:t>Invalid input validation.</w:t>
      </w:r>
    </w:p>
    <w:p>
      <w:pPr>
        <w:pStyle w:val="ListBullet"/>
      </w:pPr>
      <w:r>
        <w:t>Permission denial tests.</w:t>
      </w:r>
    </w:p>
    <w:p>
      <w:pPr>
        <w:pStyle w:val="ListBullet"/>
      </w:pPr>
      <w:r>
        <w:t>Cross-tenant isolation tests.</w:t>
      </w:r>
    </w:p>
    <w:p>
      <w:pPr>
        <w:pStyle w:val="ListBullet"/>
      </w:pPr>
      <w:r>
        <w:t>Overdue and reminder boundary tests.</w:t>
      </w:r>
    </w:p>
    <w:p>
      <w:pPr>
        <w:pStyle w:val="ListBullet"/>
      </w:pPr>
      <w:r>
        <w:t>Recurring compliance generation tests.</w:t>
      </w:r>
    </w:p>
    <w:p>
      <w:pPr>
        <w:pStyle w:val="ListBullet"/>
      </w:pPr>
      <w:r>
        <w:t>Document versioning tests.</w:t>
      </w:r>
    </w:p>
    <w:p>
      <w:pPr>
        <w:pStyle w:val="ListBullet"/>
      </w:pPr>
      <w:r>
        <w:t>Subscription entitlement tests.</w:t>
      </w:r>
    </w:p>
    <w:p>
      <w:pPr>
        <w:pStyle w:val="ListBullet"/>
      </w:pPr>
      <w:r>
        <w:t>Notification delivery/retry tests.</w:t>
      </w:r>
    </w:p>
    <w:p>
      <w:pPr>
        <w:pStyle w:val="ListBullet"/>
      </w:pPr>
      <w:r>
        <w:t>Export/report correctness tests.</w:t>
      </w:r>
    </w:p>
    <w:p>
      <w:pPr>
        <w:pStyle w:val="Heading2"/>
      </w:pPr>
      <w:r>
        <w:t>19.2 Security testing</w:t>
      </w:r>
    </w:p>
    <w:p>
      <w:pPr>
        <w:pStyle w:val="ListBullet"/>
      </w:pPr>
      <w:r>
        <w:t>Authentication bypass attempts.</w:t>
      </w:r>
    </w:p>
    <w:p>
      <w:pPr>
        <w:pStyle w:val="ListBullet"/>
      </w:pPr>
      <w:r>
        <w:t>Authorization/IDOR testing.</w:t>
      </w:r>
    </w:p>
    <w:p>
      <w:pPr>
        <w:pStyle w:val="ListBullet"/>
      </w:pPr>
      <w:r>
        <w:t>Tenant isolation testing.</w:t>
      </w:r>
    </w:p>
    <w:p>
      <w:pPr>
        <w:pStyle w:val="ListBullet"/>
      </w:pPr>
      <w:r>
        <w:t>File access testing.</w:t>
      </w:r>
    </w:p>
    <w:p>
      <w:pPr>
        <w:pStyle w:val="ListBullet"/>
      </w:pPr>
      <w:r>
        <w:t>Session expiration.</w:t>
      </w:r>
    </w:p>
    <w:p>
      <w:pPr>
        <w:pStyle w:val="ListBullet"/>
      </w:pPr>
      <w:r>
        <w:t>Rate limiting.</w:t>
      </w:r>
    </w:p>
    <w:p>
      <w:pPr>
        <w:pStyle w:val="ListBullet"/>
      </w:pPr>
      <w:r>
        <w:t>Injection and XSS testing.</w:t>
      </w:r>
    </w:p>
    <w:p>
      <w:pPr>
        <w:pStyle w:val="ListBullet"/>
      </w:pPr>
      <w:r>
        <w:t>Audit log integrity.</w:t>
      </w:r>
    </w:p>
    <w:p>
      <w:pPr>
        <w:pStyle w:val="Heading2"/>
      </w:pPr>
      <w:r>
        <w:t>19.3 UX acceptance</w:t>
      </w:r>
    </w:p>
    <w:p>
      <w:pPr>
        <w:pStyle w:val="ListBullet"/>
      </w:pPr>
      <w:r>
        <w:t>Desktop, tablet and mobile.</w:t>
      </w:r>
    </w:p>
    <w:p>
      <w:pPr>
        <w:pStyle w:val="ListBullet"/>
      </w:pPr>
      <w:r>
        <w:t>Keyboard accessibility.</w:t>
      </w:r>
    </w:p>
    <w:p>
      <w:pPr>
        <w:pStyle w:val="ListBullet"/>
      </w:pPr>
      <w:r>
        <w:t>Screen-reader basics.</w:t>
      </w:r>
    </w:p>
    <w:p>
      <w:pPr>
        <w:pStyle w:val="ListBullet"/>
      </w:pPr>
      <w:r>
        <w:t>Empty/loading/error states.</w:t>
      </w:r>
    </w:p>
    <w:p>
      <w:pPr>
        <w:pStyle w:val="ListBullet"/>
      </w:pPr>
      <w:r>
        <w:t>Long organization names and large tables.</w:t>
      </w:r>
    </w:p>
    <w:p>
      <w:pPr>
        <w:pStyle w:val="ListBullet"/>
      </w:pPr>
      <w:r>
        <w:t>Large document names and unusual file metadata.</w:t>
      </w:r>
    </w:p>
    <w:p>
      <w:pPr>
        <w:pStyle w:val="Heading1"/>
      </w:pPr>
      <w:r>
        <w:t>20. Acceptance Criteria — Core MVP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Acceptance criterion</w:t>
            </w:r>
          </w:p>
        </w:tc>
      </w:tr>
      <w:tr>
        <w:tc>
          <w:tcPr>
            <w:tcW w:type="dxa" w:w="4968"/>
            <w:vAlign w:val="top"/>
          </w:tcPr>
          <w:p>
            <w:r>
              <w:t>Onboarding</w:t>
            </w:r>
          </w:p>
        </w:tc>
        <w:tc>
          <w:tcPr>
            <w:tcW w:type="dxa" w:w="4968"/>
            <w:vAlign w:val="top"/>
          </w:tcPr>
          <w:p>
            <w:r>
              <w:t>A new organization can be created, configured and assigned applicable compliance candidates.</w:t>
            </w:r>
          </w:p>
        </w:tc>
      </w:tr>
      <w:tr>
        <w:tc>
          <w:tcPr>
            <w:tcW w:type="dxa" w:w="4968"/>
            <w:vAlign w:val="top"/>
          </w:tcPr>
          <w:p>
            <w:r>
              <w:t>Compliance</w:t>
            </w:r>
          </w:p>
        </w:tc>
        <w:tc>
          <w:tcPr>
            <w:tcW w:type="dxa" w:w="4968"/>
            <w:vAlign w:val="top"/>
          </w:tcPr>
          <w:p>
            <w:r>
              <w:t>User can create/assign/track/complete a compliance instance with evidence.</w:t>
            </w:r>
          </w:p>
        </w:tc>
      </w:tr>
      <w:tr>
        <w:tc>
          <w:tcPr>
            <w:tcW w:type="dxa" w:w="4968"/>
            <w:vAlign w:val="top"/>
          </w:tcPr>
          <w:p>
            <w:r>
              <w:t>Calendar</w:t>
            </w:r>
          </w:p>
        </w:tc>
        <w:tc>
          <w:tcPr>
            <w:tcW w:type="dxa" w:w="4968"/>
            <w:vAlign w:val="top"/>
          </w:tcPr>
          <w:p>
            <w:r>
              <w:t>Upcoming and overdue obligations are visible and filterable.</w:t>
            </w:r>
          </w:p>
        </w:tc>
      </w:tr>
      <w:tr>
        <w:tc>
          <w:tcPr>
            <w:tcW w:type="dxa" w:w="4968"/>
            <w:vAlign w:val="top"/>
          </w:tcPr>
          <w:p>
            <w:r>
              <w:t>Documents</w:t>
            </w:r>
          </w:p>
        </w:tc>
        <w:tc>
          <w:tcPr>
            <w:tcW w:type="dxa" w:w="4968"/>
            <w:vAlign w:val="top"/>
          </w:tcPr>
          <w:p>
            <w:r>
              <w:t>User can upload, categorize, version and retrieve authorized documents.</w:t>
            </w:r>
          </w:p>
        </w:tc>
      </w:tr>
      <w:tr>
        <w:tc>
          <w:tcPr>
            <w:tcW w:type="dxa" w:w="4968"/>
            <w:vAlign w:val="top"/>
          </w:tcPr>
          <w:p>
            <w:r>
              <w:t>Tasks</w:t>
            </w:r>
          </w:p>
        </w:tc>
        <w:tc>
          <w:tcPr>
            <w:tcW w:type="dxa" w:w="4968"/>
            <w:vAlign w:val="top"/>
          </w:tcPr>
          <w:p>
            <w:r>
              <w:t>User can assign, update and complete compliance tasks.</w:t>
            </w:r>
          </w:p>
        </w:tc>
      </w:tr>
      <w:tr>
        <w:tc>
          <w:tcPr>
            <w:tcW w:type="dxa" w:w="4968"/>
            <w:vAlign w:val="top"/>
          </w:tcPr>
          <w:p>
            <w:r>
              <w:t>Users</w:t>
            </w:r>
          </w:p>
        </w:tc>
        <w:tc>
          <w:tcPr>
            <w:tcW w:type="dxa" w:w="4968"/>
            <w:vAlign w:val="top"/>
          </w:tcPr>
          <w:p>
            <w:r>
              <w:t>Admin can invite users and manage roles.</w:t>
            </w:r>
          </w:p>
        </w:tc>
      </w:tr>
      <w:tr>
        <w:tc>
          <w:tcPr>
            <w:tcW w:type="dxa" w:w="4968"/>
            <w:vAlign w:val="top"/>
          </w:tcPr>
          <w:p>
            <w:r>
              <w:t>Notifications</w:t>
            </w:r>
          </w:p>
        </w:tc>
        <w:tc>
          <w:tcPr>
            <w:tcW w:type="dxa" w:w="4968"/>
            <w:vAlign w:val="top"/>
          </w:tcPr>
          <w:p>
            <w:r>
              <w:t>Configured reminders appear and delivery state is recorded.</w:t>
            </w:r>
          </w:p>
        </w:tc>
      </w:tr>
      <w:tr>
        <w:tc>
          <w:tcPr>
            <w:tcW w:type="dxa" w:w="4968"/>
            <w:vAlign w:val="top"/>
          </w:tcPr>
          <w:p>
            <w:r>
              <w:t>Dashboard</w:t>
            </w:r>
          </w:p>
        </w:tc>
        <w:tc>
          <w:tcPr>
            <w:tcW w:type="dxa" w:w="4968"/>
            <w:vAlign w:val="top"/>
          </w:tcPr>
          <w:p>
            <w:r>
              <w:t>Management can see current compliance health and drill into records.</w:t>
            </w:r>
          </w:p>
        </w:tc>
      </w:tr>
      <w:tr>
        <w:tc>
          <w:tcPr>
            <w:tcW w:type="dxa" w:w="4968"/>
            <w:vAlign w:val="top"/>
          </w:tcPr>
          <w:p>
            <w:r>
              <w:t>Reports</w:t>
            </w:r>
          </w:p>
        </w:tc>
        <w:tc>
          <w:tcPr>
            <w:tcW w:type="dxa" w:w="4968"/>
            <w:vAlign w:val="top"/>
          </w:tcPr>
          <w:p>
            <w:r>
              <w:t>Standard compliance and overdue reports can be generated.</w:t>
            </w:r>
          </w:p>
        </w:tc>
      </w:tr>
      <w:tr>
        <w:tc>
          <w:tcPr>
            <w:tcW w:type="dxa" w:w="4968"/>
            <w:vAlign w:val="top"/>
          </w:tcPr>
          <w:p>
            <w:r>
              <w:t>Audit</w:t>
            </w:r>
          </w:p>
        </w:tc>
        <w:tc>
          <w:tcPr>
            <w:tcW w:type="dxa" w:w="4968"/>
            <w:vAlign w:val="top"/>
          </w:tcPr>
          <w:p>
            <w:r>
              <w:t>Material actions create traceable audit records.</w:t>
            </w:r>
          </w:p>
        </w:tc>
      </w:tr>
      <w:tr>
        <w:tc>
          <w:tcPr>
            <w:tcW w:type="dxa" w:w="4968"/>
            <w:vAlign w:val="top"/>
          </w:tcPr>
          <w:p>
            <w:r>
              <w:t>Multi-tenancy</w:t>
            </w:r>
          </w:p>
        </w:tc>
        <w:tc>
          <w:tcPr>
            <w:tcW w:type="dxa" w:w="4968"/>
            <w:vAlign w:val="top"/>
          </w:tcPr>
          <w:p>
            <w:r>
              <w:t>No user can access another tenant's data through normal or manipulated requests.</w:t>
            </w:r>
          </w:p>
        </w:tc>
      </w:tr>
      <w:tr>
        <w:tc>
          <w:tcPr>
            <w:tcW w:type="dxa" w:w="4968"/>
            <w:vAlign w:val="top"/>
          </w:tcPr>
          <w:p>
            <w:r>
              <w:t>Subscription</w:t>
            </w:r>
          </w:p>
        </w:tc>
        <w:tc>
          <w:tcPr>
            <w:tcW w:type="dxa" w:w="4968"/>
            <w:vAlign w:val="top"/>
          </w:tcPr>
          <w:p>
            <w:r>
              <w:t>Feature entitlements can be evaluated without deleting tenant data.</w:t>
            </w:r>
          </w:p>
        </w:tc>
      </w:tr>
    </w:tbl>
    <w:p>
      <w:pPr>
        <w:pStyle w:val="Heading1"/>
      </w:pPr>
      <w:r>
        <w:t>21. System Design Handoff Checklist</w:t>
      </w:r>
    </w:p>
    <w:p>
      <w:r>
        <w:t>The Product Owner should use the following questions as mandatory inputs to the System Design Document:</w:t>
      </w:r>
    </w:p>
    <w:p>
      <w:pPr>
        <w:pStyle w:val="ListBullet"/>
      </w:pPr>
      <w:r>
        <w:t>Which services/modules own each entity?</w:t>
      </w:r>
    </w:p>
    <w:p>
      <w:pPr>
        <w:pStyle w:val="ListBullet"/>
      </w:pPr>
      <w:r>
        <w:t>What is the tenant isolation strategy?</w:t>
      </w:r>
    </w:p>
    <w:p>
      <w:pPr>
        <w:pStyle w:val="ListBullet"/>
      </w:pPr>
      <w:r>
        <w:t>What is the database schema and indexing strategy?</w:t>
      </w:r>
    </w:p>
    <w:p>
      <w:pPr>
        <w:pStyle w:val="ListBullet"/>
      </w:pPr>
      <w:r>
        <w:t>How are compliance applicability rules represented and versioned?</w:t>
      </w:r>
    </w:p>
    <w:p>
      <w:pPr>
        <w:pStyle w:val="ListBullet"/>
      </w:pPr>
      <w:r>
        <w:t>How are statutory deadlines represented when rules change?</w:t>
      </w:r>
    </w:p>
    <w:p>
      <w:pPr>
        <w:pStyle w:val="ListBullet"/>
      </w:pPr>
      <w:r>
        <w:t>How are recurring compliance instances generated?</w:t>
      </w:r>
    </w:p>
    <w:p>
      <w:pPr>
        <w:pStyle w:val="ListBullet"/>
      </w:pPr>
      <w:r>
        <w:t>What is the job scheduler/queue architecture?</w:t>
      </w:r>
    </w:p>
    <w:p>
      <w:pPr>
        <w:pStyle w:val="ListBullet"/>
      </w:pPr>
      <w:r>
        <w:t>How are notification retries and idempotency handled?</w:t>
      </w:r>
    </w:p>
    <w:p>
      <w:pPr>
        <w:pStyle w:val="ListBullet"/>
      </w:pPr>
      <w:r>
        <w:t>How are documents stored, secured and scanned?</w:t>
      </w:r>
    </w:p>
    <w:p>
      <w:pPr>
        <w:pStyle w:val="ListBullet"/>
      </w:pPr>
      <w:r>
        <w:t>What is the authorization model?</w:t>
      </w:r>
    </w:p>
    <w:p>
      <w:pPr>
        <w:pStyle w:val="ListBullet"/>
      </w:pPr>
      <w:r>
        <w:t>What are the audit log immutability requirements?</w:t>
      </w:r>
    </w:p>
    <w:p>
      <w:pPr>
        <w:pStyle w:val="ListBullet"/>
      </w:pPr>
      <w:r>
        <w:t>What are backup, RPO and RTO targets?</w:t>
      </w:r>
    </w:p>
    <w:p>
      <w:pPr>
        <w:pStyle w:val="ListBullet"/>
      </w:pPr>
      <w:r>
        <w:t>What is the observability stack?</w:t>
      </w:r>
    </w:p>
    <w:p>
      <w:pPr>
        <w:pStyle w:val="ListBullet"/>
      </w:pPr>
      <w:r>
        <w:t>Which APIs are synchronous vs asynchronous?</w:t>
      </w:r>
    </w:p>
    <w:p>
      <w:pPr>
        <w:pStyle w:val="ListBullet"/>
      </w:pPr>
      <w:r>
        <w:t>How will integrations be isolated from core domain logic?</w:t>
      </w:r>
    </w:p>
    <w:p>
      <w:pPr>
        <w:pStyle w:val="ListBullet"/>
      </w:pPr>
      <w:r>
        <w:t>How will AI retrieval respect tenant boundaries?</w:t>
      </w:r>
    </w:p>
    <w:p>
      <w:pPr>
        <w:pStyle w:val="ListBullet"/>
      </w:pPr>
      <w:r>
        <w:t>What are the data retention and deletion rules?</w:t>
      </w:r>
    </w:p>
    <w:p>
      <w:pPr>
        <w:pStyle w:val="ListBullet"/>
      </w:pPr>
      <w:r>
        <w:t>What are the subscription entitlement boundaries?</w:t>
      </w:r>
    </w:p>
    <w:p>
      <w:pPr>
        <w:pStyle w:val="ListBullet"/>
      </w:pPr>
      <w:r>
        <w:t>What is the deployment topology for MVP and enterprise scale?</w:t>
      </w:r>
    </w:p>
    <w:p>
      <w:pPr>
        <w:pStyle w:val="ListBullet"/>
      </w:pPr>
      <w:r>
        <w:t>What are the security and privacy controls required for production?</w:t>
      </w:r>
    </w:p>
    <w:p>
      <w:pPr>
        <w:pStyle w:val="Heading1"/>
      </w:pPr>
      <w:r>
        <w:t>22. Recommended Implementation Sequence</w:t>
      </w:r>
    </w:p>
    <w:p>
      <w:pPr>
        <w:pStyle w:val="ListNumber"/>
      </w:pPr>
      <w:r>
        <w:t>Foundation: tenant, identity, organization and RBAC.</w:t>
      </w:r>
    </w:p>
    <w:p>
      <w:pPr>
        <w:pStyle w:val="ListNumber"/>
      </w:pPr>
      <w:r>
        <w:t>Compliance catalogue and rule configuration.</w:t>
      </w:r>
    </w:p>
    <w:p>
      <w:pPr>
        <w:pStyle w:val="ListNumber"/>
      </w:pPr>
      <w:r>
        <w:t>Compliance instances, periods, deadlines and lifecycle.</w:t>
      </w:r>
    </w:p>
    <w:p>
      <w:pPr>
        <w:pStyle w:val="ListNumber"/>
      </w:pPr>
      <w:r>
        <w:t>Task/workflow engine.</w:t>
      </w:r>
    </w:p>
    <w:p>
      <w:pPr>
        <w:pStyle w:val="ListNumber"/>
      </w:pPr>
      <w:r>
        <w:t>Document metadata and secure storage.</w:t>
      </w:r>
    </w:p>
    <w:p>
      <w:pPr>
        <w:pStyle w:val="ListNumber"/>
      </w:pPr>
      <w:r>
        <w:t>Calendar and reminder engine.</w:t>
      </w:r>
    </w:p>
    <w:p>
      <w:pPr>
        <w:pStyle w:val="ListNumber"/>
      </w:pPr>
      <w:r>
        <w:t>Dashboard and standard reporting.</w:t>
      </w:r>
    </w:p>
    <w:p>
      <w:pPr>
        <w:pStyle w:val="ListNumber"/>
      </w:pPr>
      <w:r>
        <w:t>Audit trail and security controls.</w:t>
      </w:r>
    </w:p>
    <w:p>
      <w:pPr>
        <w:pStyle w:val="ListNumber"/>
      </w:pPr>
      <w:r>
        <w:t>Consultant multi-organization capability.</w:t>
      </w:r>
    </w:p>
    <w:p>
      <w:pPr>
        <w:pStyle w:val="ListNumber"/>
      </w:pPr>
      <w:r>
        <w:t>Subscription and entitlements.</w:t>
      </w:r>
    </w:p>
    <w:p>
      <w:pPr>
        <w:pStyle w:val="ListNumber"/>
      </w:pPr>
      <w:r>
        <w:t>Integrations.</w:t>
      </w:r>
    </w:p>
    <w:p>
      <w:pPr>
        <w:pStyle w:val="ListNumber"/>
      </w:pPr>
      <w:r>
        <w:t>AI capabilities after reliable structured data and workflows exist.</w:t>
      </w:r>
    </w:p>
    <w:p>
      <w:pPr>
        <w:pStyle w:val="Heading1"/>
      </w:pPr>
      <w:r>
        <w:t>23. Key Product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Impact</w:t>
            </w:r>
          </w:p>
        </w:tc>
        <w:tc>
          <w:tcPr>
            <w:tcW w:type="dxa" w:w="3312"/>
            <w:vAlign w:val="center"/>
          </w:tcPr>
          <w:p>
            <w:r>
              <w:rPr>
                <w:b/>
              </w:rPr>
              <w:t>Mitigation</w:t>
            </w:r>
          </w:p>
        </w:tc>
      </w:tr>
      <w:tr>
        <w:tc>
          <w:tcPr>
            <w:tcW w:type="dxa" w:w="3312"/>
            <w:vAlign w:val="top"/>
          </w:tcPr>
          <w:p>
            <w:r>
              <w:t>Regulatory rule changes</w:t>
            </w:r>
          </w:p>
        </w:tc>
        <w:tc>
          <w:tcPr>
            <w:tcW w:type="dxa" w:w="3312"/>
            <w:vAlign w:val="top"/>
          </w:tcPr>
          <w:p>
            <w:r>
              <w:t>High</w:t>
            </w:r>
          </w:p>
        </w:tc>
        <w:tc>
          <w:tcPr>
            <w:tcW w:type="dxa" w:w="3312"/>
            <w:vAlign w:val="top"/>
          </w:tcPr>
          <w:p>
            <w:r>
              <w:t>Versioned rule engine, expert validation, effective dates</w:t>
            </w:r>
          </w:p>
        </w:tc>
      </w:tr>
      <w:tr>
        <w:tc>
          <w:tcPr>
            <w:tcW w:type="dxa" w:w="3312"/>
            <w:vAlign w:val="top"/>
          </w:tcPr>
          <w:p>
            <w:r>
              <w:t>Incorrect AI advice</w:t>
            </w:r>
          </w:p>
        </w:tc>
        <w:tc>
          <w:tcPr>
            <w:tcW w:type="dxa" w:w="3312"/>
            <w:vAlign w:val="top"/>
          </w:tcPr>
          <w:p>
            <w:r>
              <w:t>High</w:t>
            </w:r>
          </w:p>
        </w:tc>
        <w:tc>
          <w:tcPr>
            <w:tcW w:type="dxa" w:w="3312"/>
            <w:vAlign w:val="top"/>
          </w:tcPr>
          <w:p>
            <w:r>
              <w:t>Human review, source grounding, clear disclaimers</w:t>
            </w:r>
          </w:p>
        </w:tc>
      </w:tr>
      <w:tr>
        <w:tc>
          <w:tcPr>
            <w:tcW w:type="dxa" w:w="3312"/>
            <w:vAlign w:val="top"/>
          </w:tcPr>
          <w:p>
            <w:r>
              <w:t>Cross-tenant data leakage</w:t>
            </w:r>
          </w:p>
        </w:tc>
        <w:tc>
          <w:tcPr>
            <w:tcW w:type="dxa" w:w="3312"/>
            <w:vAlign w:val="top"/>
          </w:tcPr>
          <w:p>
            <w:r>
              <w:t>Critical</w:t>
            </w:r>
          </w:p>
        </w:tc>
        <w:tc>
          <w:tcPr>
            <w:tcW w:type="dxa" w:w="3312"/>
            <w:vAlign w:val="top"/>
          </w:tcPr>
          <w:p>
            <w:r>
              <w:t>Tenant-aware authorization, automated isolation tests</w:t>
            </w:r>
          </w:p>
        </w:tc>
      </w:tr>
      <w:tr>
        <w:tc>
          <w:tcPr>
            <w:tcW w:type="dxa" w:w="3312"/>
            <w:vAlign w:val="top"/>
          </w:tcPr>
          <w:p>
            <w:r>
              <w:t>Missed notifications</w:t>
            </w:r>
          </w:p>
        </w:tc>
        <w:tc>
          <w:tcPr>
            <w:tcW w:type="dxa" w:w="3312"/>
            <w:vAlign w:val="top"/>
          </w:tcPr>
          <w:p>
            <w:r>
              <w:t>High</w:t>
            </w:r>
          </w:p>
        </w:tc>
        <w:tc>
          <w:tcPr>
            <w:tcW w:type="dxa" w:w="3312"/>
            <w:vAlign w:val="top"/>
          </w:tcPr>
          <w:p>
            <w:r>
              <w:t>Retry, monitoring, escalation and delivery logs</w:t>
            </w:r>
          </w:p>
        </w:tc>
      </w:tr>
      <w:tr>
        <w:tc>
          <w:tcPr>
            <w:tcW w:type="dxa" w:w="3312"/>
            <w:vAlign w:val="top"/>
          </w:tcPr>
          <w:p>
            <w:r>
              <w:t>Document loss</w:t>
            </w:r>
          </w:p>
        </w:tc>
        <w:tc>
          <w:tcPr>
            <w:tcW w:type="dxa" w:w="3312"/>
            <w:vAlign w:val="top"/>
          </w:tcPr>
          <w:p>
            <w:r>
              <w:t>Critical</w:t>
            </w:r>
          </w:p>
        </w:tc>
        <w:tc>
          <w:tcPr>
            <w:tcW w:type="dxa" w:w="3312"/>
            <w:vAlign w:val="top"/>
          </w:tcPr>
          <w:p>
            <w:r>
              <w:t>Object storage, versioning, backup and recovery</w:t>
            </w:r>
          </w:p>
        </w:tc>
      </w:tr>
      <w:tr>
        <w:tc>
          <w:tcPr>
            <w:tcW w:type="dxa" w:w="3312"/>
            <w:vAlign w:val="top"/>
          </w:tcPr>
          <w:p>
            <w:r>
              <w:t>Over-complex MVP</w:t>
            </w:r>
          </w:p>
        </w:tc>
        <w:tc>
          <w:tcPr>
            <w:tcW w:type="dxa" w:w="3312"/>
            <w:vAlign w:val="top"/>
          </w:tcPr>
          <w:p>
            <w:r>
              <w:t>High</w:t>
            </w:r>
          </w:p>
        </w:tc>
        <w:tc>
          <w:tcPr>
            <w:tcW w:type="dxa" w:w="3312"/>
            <w:vAlign w:val="top"/>
          </w:tcPr>
          <w:p>
            <w:r>
              <w:t>Strict phased roadmap and feature gating</w:t>
            </w:r>
          </w:p>
        </w:tc>
      </w:tr>
      <w:tr>
        <w:tc>
          <w:tcPr>
            <w:tcW w:type="dxa" w:w="3312"/>
            <w:vAlign w:val="top"/>
          </w:tcPr>
          <w:p>
            <w:r>
              <w:t>User adoption</w:t>
            </w:r>
          </w:p>
        </w:tc>
        <w:tc>
          <w:tcPr>
            <w:tcW w:type="dxa" w:w="3312"/>
            <w:vAlign w:val="top"/>
          </w:tcPr>
          <w:p>
            <w:r>
              <w:t>Medium</w:t>
            </w:r>
          </w:p>
        </w:tc>
        <w:tc>
          <w:tcPr>
            <w:tcW w:type="dxa" w:w="3312"/>
            <w:vAlign w:val="top"/>
          </w:tcPr>
          <w:p>
            <w:r>
              <w:t>Simple dashboard, guided onboarding, templates</w:t>
            </w:r>
          </w:p>
        </w:tc>
      </w:tr>
      <w:tr>
        <w:tc>
          <w:tcPr>
            <w:tcW w:type="dxa" w:w="3312"/>
            <w:vAlign w:val="top"/>
          </w:tcPr>
          <w:p>
            <w:r>
              <w:t>Vendor dependency</w:t>
            </w:r>
          </w:p>
        </w:tc>
        <w:tc>
          <w:tcPr>
            <w:tcW w:type="dxa" w:w="3312"/>
            <w:vAlign w:val="top"/>
          </w:tcPr>
          <w:p>
            <w:r>
              <w:t>Medium</w:t>
            </w:r>
          </w:p>
        </w:tc>
        <w:tc>
          <w:tcPr>
            <w:tcW w:type="dxa" w:w="3312"/>
            <w:vAlign w:val="top"/>
          </w:tcPr>
          <w:p>
            <w:r>
              <w:t>Provider abstraction and fallback where practical</w:t>
            </w:r>
          </w:p>
        </w:tc>
      </w:tr>
    </w:tbl>
    <w:p>
      <w:pPr>
        <w:pStyle w:val="Heading1"/>
      </w:pPr>
      <w:r>
        <w:t>24. Definition of Product Success</w:t>
      </w:r>
    </w:p>
    <w:p>
      <w:pPr>
        <w:pStyle w:val="ListBullet"/>
      </w:pPr>
      <w:r>
        <w:t>Organizations can identify what compliance is due without consulting spreadsheets.</w:t>
      </w:r>
    </w:p>
    <w:p>
      <w:pPr>
        <w:pStyle w:val="ListBullet"/>
      </w:pPr>
      <w:r>
        <w:t>Every active compliance has a clear owner and deadline.</w:t>
      </w:r>
    </w:p>
    <w:p>
      <w:pPr>
        <w:pStyle w:val="ListBullet"/>
      </w:pPr>
      <w:r>
        <w:t>Evidence can be found quickly and is linked to the relevant obligation.</w:t>
      </w:r>
    </w:p>
    <w:p>
      <w:pPr>
        <w:pStyle w:val="ListBullet"/>
      </w:pPr>
      <w:r>
        <w:t>Management can see overdue/high-risk work immediately.</w:t>
      </w:r>
    </w:p>
    <w:p>
      <w:pPr>
        <w:pStyle w:val="ListBullet"/>
      </w:pPr>
      <w:r>
        <w:t>Auditors can trace the history of material actions.</w:t>
      </w:r>
    </w:p>
    <w:p>
      <w:pPr>
        <w:pStyle w:val="ListBullet"/>
      </w:pPr>
      <w:r>
        <w:t>Consultants can manage multiple NGOs without cross-client confusion.</w:t>
      </w:r>
    </w:p>
    <w:p>
      <w:pPr>
        <w:pStyle w:val="ListBullet"/>
      </w:pPr>
      <w:r>
        <w:t>Recurring compliance can roll forward without rebuilding the plan manually.</w:t>
      </w:r>
    </w:p>
    <w:p>
      <w:pPr>
        <w:pStyle w:val="ListBullet"/>
      </w:pPr>
      <w:r>
        <w:t>The system can evolve from core workflow to automation and AI without redesigning the domain model.</w:t>
      </w:r>
    </w:p>
    <w:p>
      <w:pPr>
        <w:pStyle w:val="Heading1"/>
      </w:pPr>
      <w:r>
        <w:t>25. Final Product Requirement Summary</w:t>
      </w:r>
    </w:p>
    <w:p>
      <w:r>
        <w:t>The first release should be treated as a Compliance Operations Platform rather than a generic NGO ERP. The product's strongest core loop is: organization profile → applicability → compliance schedule → owner → task → evidence → review → filing proof → completion → audit trail → recurring cycle.</w:t>
      </w:r>
    </w:p>
    <w:p>
      <w:r>
        <w:t>The system design should therefore prioritize a reliable compliance domain model, tenant isolation, role-based access, document/evidence management, scheduling, workflow, notifications and auditability. AI, advanced integrations, grants, donors, CSR and mobile should be layered on top of this stable foundation.</w:t>
      </w:r>
    </w:p>
    <w:p>
      <w:r>
        <w:t>This document is intentionally written at the product-requirements level. Architecture, database schema, API contracts, deployment topology, infrastructure sizing, security controls, integration protocols and detailed technical decisions should be produced in the subsequent System Design Document and validated against these requirements.</w:t>
      </w:r>
    </w:p>
    <w:p>
      <w:pPr>
        <w:pStyle w:val="Heading1"/>
      </w:pPr>
      <w:r>
        <w:t>Appendix A — 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Value</w:t>
            </w:r>
          </w:p>
        </w:tc>
      </w:tr>
      <w:tr>
        <w:tc>
          <w:tcPr>
            <w:tcW w:type="dxa" w:w="4968"/>
            <w:vAlign w:val="top"/>
          </w:tcPr>
          <w:p>
            <w:r>
              <w:t>Document</w:t>
            </w:r>
          </w:p>
        </w:tc>
        <w:tc>
          <w:tcPr>
            <w:tcW w:type="dxa" w:w="4968"/>
            <w:vAlign w:val="top"/>
          </w:tcPr>
          <w:p>
            <w:r>
              <w:t>NGO Compliance Management System — Detailed Requirement Analysis</w:t>
            </w:r>
          </w:p>
        </w:tc>
      </w:tr>
      <w:tr>
        <w:tc>
          <w:tcPr>
            <w:tcW w:type="dxa" w:w="4968"/>
            <w:vAlign w:val="top"/>
          </w:tcPr>
          <w:p>
            <w:r>
              <w:t>Version</w:t>
            </w:r>
          </w:p>
        </w:tc>
        <w:tc>
          <w:tcPr>
            <w:tcW w:type="dxa" w:w="4968"/>
            <w:vAlign w:val="top"/>
          </w:tcPr>
          <w:p>
            <w:r>
              <w:t>1.0</w:t>
            </w:r>
          </w:p>
        </w:tc>
      </w:tr>
      <w:tr>
        <w:tc>
          <w:tcPr>
            <w:tcW w:type="dxa" w:w="4968"/>
            <w:vAlign w:val="top"/>
          </w:tcPr>
          <w:p>
            <w:r>
              <w:t>Audience</w:t>
            </w:r>
          </w:p>
        </w:tc>
        <w:tc>
          <w:tcPr>
            <w:tcW w:type="dxa" w:w="4968"/>
            <w:vAlign w:val="top"/>
          </w:tcPr>
          <w:p>
            <w:r>
              <w:t>Product Owner, BA, UX, Engineering, QA, Solution Architect, Management</w:t>
            </w:r>
          </w:p>
        </w:tc>
      </w:tr>
      <w:tr>
        <w:tc>
          <w:tcPr>
            <w:tcW w:type="dxa" w:w="4968"/>
            <w:vAlign w:val="top"/>
          </w:tcPr>
          <w:p>
            <w:r>
              <w:t>Primary market</w:t>
            </w:r>
          </w:p>
        </w:tc>
        <w:tc>
          <w:tcPr>
            <w:tcW w:type="dxa" w:w="4968"/>
            <w:vAlign w:val="top"/>
          </w:tcPr>
          <w:p>
            <w:r>
              <w:t>India; designed for later expansion</w:t>
            </w:r>
          </w:p>
        </w:tc>
      </w:tr>
      <w:tr>
        <w:tc>
          <w:tcPr>
            <w:tcW w:type="dxa" w:w="4968"/>
            <w:vAlign w:val="top"/>
          </w:tcPr>
          <w:p>
            <w:r>
              <w:t>Product type</w:t>
            </w:r>
          </w:p>
        </w:tc>
        <w:tc>
          <w:tcPr>
            <w:tcW w:type="dxa" w:w="4968"/>
            <w:vAlign w:val="top"/>
          </w:tcPr>
          <w:p>
            <w:r>
              <w:t>Multi-tenant B2B SaaS</w:t>
            </w:r>
          </w:p>
        </w:tc>
      </w:tr>
      <w:tr>
        <w:tc>
          <w:tcPr>
            <w:tcW w:type="dxa" w:w="4968"/>
            <w:vAlign w:val="top"/>
          </w:tcPr>
          <w:p>
            <w:r>
              <w:t>Primary reference</w:t>
            </w:r>
          </w:p>
        </w:tc>
        <w:tc>
          <w:tcPr>
            <w:tcW w:type="dxa" w:w="4968"/>
            <w:vAlign w:val="top"/>
          </w:tcPr>
          <w:p>
            <w:r>
              <w:t>Input to System Design Document</w:t>
            </w:r>
          </w:p>
        </w:tc>
      </w:tr>
      <w:tr>
        <w:tc>
          <w:tcPr>
            <w:tcW w:type="dxa" w:w="4968"/>
            <w:vAlign w:val="top"/>
          </w:tcPr>
          <w:p>
            <w:r>
              <w:t>Requirement priority</w:t>
            </w:r>
          </w:p>
        </w:tc>
        <w:tc>
          <w:tcPr>
            <w:tcW w:type="dxa" w:w="4968"/>
            <w:vAlign w:val="top"/>
          </w:tcPr>
          <w:p>
            <w:r>
              <w:t>Must-have → Good-to-have → Nice-to-have → Future</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Product Requirements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NGO Compliance Management SaaS — Detailed Requirement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