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NGO Compliance Management SaaS</w:t>
      </w:r>
    </w:p>
    <w:p>
      <w:pPr>
        <w:jc w:val="center"/>
      </w:pPr>
      <w:r>
        <w:rPr>
          <w:b/>
          <w:sz w:val="28"/>
        </w:rPr>
        <w:t>Detailed System Design Document (SDD)</w:t>
      </w:r>
    </w:p>
    <w:p>
      <w:r>
        <w:t>Version 1.0 • Architecture baseline for Product Owner, Solution Architect, Engineering, QA, DevOps and Security</w:t>
      </w:r>
    </w:p>
    <w:p>
      <w:r>
        <w:t>Purpose: translate the approved product requirements into an implementable technical architecture. This document proposes a production-ready, multi-tenant SaaS architecture for an India-first NGO compliance platform. Regulatory rules and dates are configuration data and must be validated by qualified domain experts before production use.</w:t>
      </w:r>
    </w:p>
    <w:p>
      <w:r>
        <w:t>Design principle: build a reliable compliance workflow platform first; layer integrations and AI on top of stable, auditable domain services.</w:t>
      </w:r>
    </w:p>
    <w:p>
      <w:pPr>
        <w:pStyle w:val="Heading1"/>
      </w:pPr>
      <w:r>
        <w:t>1. Architecture Goals</w:t>
      </w:r>
    </w:p>
    <w:p>
      <w:pPr>
        <w:pStyle w:val="ListBullet"/>
      </w:pPr>
      <w:r>
        <w:t>Strong tenant isolation and least-privilege authorization.</w:t>
      </w:r>
    </w:p>
    <w:p>
      <w:pPr>
        <w:pStyle w:val="ListBullet"/>
      </w:pPr>
      <w:r>
        <w:t>Reliable compliance lifecycle with immutable history.</w:t>
      </w:r>
    </w:p>
    <w:p>
      <w:pPr>
        <w:pStyle w:val="ListBullet"/>
      </w:pPr>
      <w:r>
        <w:t>Configurable and versioned compliance rules and deadlines.</w:t>
      </w:r>
    </w:p>
    <w:p>
      <w:pPr>
        <w:pStyle w:val="ListBullet"/>
      </w:pPr>
      <w:r>
        <w:t>Secure document/evidence management.</w:t>
      </w:r>
    </w:p>
    <w:p>
      <w:pPr>
        <w:pStyle w:val="ListBullet"/>
      </w:pPr>
      <w:r>
        <w:t>Predictable scheduled jobs, reminders and escalations.</w:t>
      </w:r>
    </w:p>
    <w:p>
      <w:pPr>
        <w:pStyle w:val="ListBullet"/>
      </w:pPr>
      <w:r>
        <w:t>Horizontal scalability for NGO and consultant/CA workloads.</w:t>
      </w:r>
    </w:p>
    <w:p>
      <w:pPr>
        <w:pStyle w:val="ListBullet"/>
      </w:pPr>
      <w:r>
        <w:t>Clear separation between core domain logic and external providers.</w:t>
      </w:r>
    </w:p>
    <w:p>
      <w:pPr>
        <w:pStyle w:val="ListBullet"/>
      </w:pPr>
      <w:r>
        <w:t>API-first backend enabling web, mobile and partner integrations.</w:t>
      </w:r>
    </w:p>
    <w:p>
      <w:pPr>
        <w:pStyle w:val="ListBullet"/>
      </w:pPr>
      <w:r>
        <w:t>Observability, auditability and operational recovery from day one.</w:t>
      </w:r>
    </w:p>
    <w:p>
      <w:pPr>
        <w:pStyle w:val="ListBullet"/>
      </w:pPr>
      <w:r>
        <w:t>AI-ready architecture without making AI a dependency of core compliance.</w:t>
      </w:r>
    </w:p>
    <w:p>
      <w:pPr>
        <w:pStyle w:val="Heading1"/>
      </w:pPr>
      <w:r>
        <w:t>2.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Recommendation</w:t>
            </w:r>
          </w:p>
        </w:tc>
        <w:tc>
          <w:tcPr>
            <w:tcW w:type="dxa" w:w="3360"/>
            <w:vAlign w:val="center"/>
          </w:tcPr>
          <w:p>
            <w:r>
              <w:rPr>
                <w:b/>
              </w:rPr>
              <w:t>Reason</w:t>
            </w:r>
          </w:p>
        </w:tc>
      </w:tr>
      <w:tr>
        <w:tc>
          <w:tcPr>
            <w:tcW w:type="dxa" w:w="3360"/>
            <w:vAlign w:val="top"/>
          </w:tcPr>
          <w:p>
            <w:r>
              <w:t>Web frontend</w:t>
            </w:r>
          </w:p>
        </w:tc>
        <w:tc>
          <w:tcPr>
            <w:tcW w:type="dxa" w:w="3360"/>
            <w:vAlign w:val="top"/>
          </w:tcPr>
          <w:p>
            <w:r>
              <w:t>Next.js + TypeScript</w:t>
            </w:r>
          </w:p>
        </w:tc>
        <w:tc>
          <w:tcPr>
            <w:tcW w:type="dxa" w:w="3360"/>
            <w:vAlign w:val="top"/>
          </w:tcPr>
          <w:p>
            <w:r>
              <w:t>Strong SaaS UI, routing, SSR where useful, type safety</w:t>
            </w:r>
          </w:p>
        </w:tc>
      </w:tr>
      <w:tr>
        <w:tc>
          <w:tcPr>
            <w:tcW w:type="dxa" w:w="3360"/>
            <w:vAlign w:val="top"/>
          </w:tcPr>
          <w:p>
            <w:r>
              <w:t>UI</w:t>
            </w:r>
          </w:p>
        </w:tc>
        <w:tc>
          <w:tcPr>
            <w:tcW w:type="dxa" w:w="3360"/>
            <w:vAlign w:val="top"/>
          </w:tcPr>
          <w:p>
            <w:r>
              <w:t>Tailwind CSS + accessible component library</w:t>
            </w:r>
          </w:p>
        </w:tc>
        <w:tc>
          <w:tcPr>
            <w:tcW w:type="dxa" w:w="3360"/>
            <w:vAlign w:val="top"/>
          </w:tcPr>
          <w:p>
            <w:r>
              <w:t>Fast consistent enterprise UI</w:t>
            </w:r>
          </w:p>
        </w:tc>
      </w:tr>
      <w:tr>
        <w:tc>
          <w:tcPr>
            <w:tcW w:type="dxa" w:w="3360"/>
            <w:vAlign w:val="top"/>
          </w:tcPr>
          <w:p>
            <w:r>
              <w:t>Client data</w:t>
            </w:r>
          </w:p>
        </w:tc>
        <w:tc>
          <w:tcPr>
            <w:tcW w:type="dxa" w:w="3360"/>
            <w:vAlign w:val="top"/>
          </w:tcPr>
          <w:p>
            <w:r>
              <w:t>TanStack Query + lightweight local state</w:t>
            </w:r>
          </w:p>
        </w:tc>
        <w:tc>
          <w:tcPr>
            <w:tcW w:type="dxa" w:w="3360"/>
            <w:vAlign w:val="top"/>
          </w:tcPr>
          <w:p>
            <w:r>
              <w:t>Server-state caching and predictable data flow</w:t>
            </w:r>
          </w:p>
        </w:tc>
      </w:tr>
      <w:tr>
        <w:tc>
          <w:tcPr>
            <w:tcW w:type="dxa" w:w="3360"/>
            <w:vAlign w:val="top"/>
          </w:tcPr>
          <w:p>
            <w:r>
              <w:t>Backend API</w:t>
            </w:r>
          </w:p>
        </w:tc>
        <w:tc>
          <w:tcPr>
            <w:tcW w:type="dxa" w:w="3360"/>
            <w:vAlign w:val="top"/>
          </w:tcPr>
          <w:p>
            <w:r>
              <w:t>Python FastAPI</w:t>
            </w:r>
          </w:p>
        </w:tc>
        <w:tc>
          <w:tcPr>
            <w:tcW w:type="dxa" w:w="3360"/>
            <w:vAlign w:val="top"/>
          </w:tcPr>
          <w:p>
            <w:r>
              <w:t>Typed APIs, async support, strong Python ecosystem</w:t>
            </w:r>
          </w:p>
        </w:tc>
      </w:tr>
      <w:tr>
        <w:tc>
          <w:tcPr>
            <w:tcW w:type="dxa" w:w="3360"/>
            <w:vAlign w:val="top"/>
          </w:tcPr>
          <w:p>
            <w:r>
              <w:t>ORM</w:t>
            </w:r>
          </w:p>
        </w:tc>
        <w:tc>
          <w:tcPr>
            <w:tcW w:type="dxa" w:w="3360"/>
            <w:vAlign w:val="top"/>
          </w:tcPr>
          <w:p>
            <w:r>
              <w:t>SQLAlchemy 2.x + Alembic</w:t>
            </w:r>
          </w:p>
        </w:tc>
        <w:tc>
          <w:tcPr>
            <w:tcW w:type="dxa" w:w="3360"/>
            <w:vAlign w:val="top"/>
          </w:tcPr>
          <w:p>
            <w:r>
              <w:t>Mature relational mapping and migrations</w:t>
            </w:r>
          </w:p>
        </w:tc>
      </w:tr>
      <w:tr>
        <w:tc>
          <w:tcPr>
            <w:tcW w:type="dxa" w:w="3360"/>
            <w:vAlign w:val="top"/>
          </w:tcPr>
          <w:p>
            <w:r>
              <w:t>Database</w:t>
            </w:r>
          </w:p>
        </w:tc>
        <w:tc>
          <w:tcPr>
            <w:tcW w:type="dxa" w:w="3360"/>
            <w:vAlign w:val="top"/>
          </w:tcPr>
          <w:p>
            <w:r>
              <w:t>PostgreSQL</w:t>
            </w:r>
          </w:p>
        </w:tc>
        <w:tc>
          <w:tcPr>
            <w:tcW w:type="dxa" w:w="3360"/>
            <w:vAlign w:val="top"/>
          </w:tcPr>
          <w:p>
            <w:r>
              <w:t>Transactions, JSONB, indexing, mature SaaS support</w:t>
            </w:r>
          </w:p>
        </w:tc>
      </w:tr>
      <w:tr>
        <w:tc>
          <w:tcPr>
            <w:tcW w:type="dxa" w:w="3360"/>
            <w:vAlign w:val="top"/>
          </w:tcPr>
          <w:p>
            <w:r>
              <w:t>Cache</w:t>
            </w:r>
          </w:p>
        </w:tc>
        <w:tc>
          <w:tcPr>
            <w:tcW w:type="dxa" w:w="3360"/>
            <w:vAlign w:val="top"/>
          </w:tcPr>
          <w:p>
            <w:r>
              <w:t>Redis</w:t>
            </w:r>
          </w:p>
        </w:tc>
        <w:tc>
          <w:tcPr>
            <w:tcW w:type="dxa" w:w="3360"/>
            <w:vAlign w:val="top"/>
          </w:tcPr>
          <w:p>
            <w:r>
              <w:t>Caching, locks, rate limiting, short-lived state</w:t>
            </w:r>
          </w:p>
        </w:tc>
      </w:tr>
      <w:tr>
        <w:tc>
          <w:tcPr>
            <w:tcW w:type="dxa" w:w="3360"/>
            <w:vAlign w:val="top"/>
          </w:tcPr>
          <w:p>
            <w:r>
              <w:t>Jobs</w:t>
            </w:r>
          </w:p>
        </w:tc>
        <w:tc>
          <w:tcPr>
            <w:tcW w:type="dxa" w:w="3360"/>
            <w:vAlign w:val="top"/>
          </w:tcPr>
          <w:p>
            <w:r>
              <w:t>Celery or Dramatiq + Redis/RabbitMQ</w:t>
            </w:r>
          </w:p>
        </w:tc>
        <w:tc>
          <w:tcPr>
            <w:tcW w:type="dxa" w:w="3360"/>
            <w:vAlign w:val="top"/>
          </w:tcPr>
          <w:p>
            <w:r>
              <w:t>Scheduled and asynchronous work</w:t>
            </w:r>
          </w:p>
        </w:tc>
      </w:tr>
      <w:tr>
        <w:tc>
          <w:tcPr>
            <w:tcW w:type="dxa" w:w="3360"/>
            <w:vAlign w:val="top"/>
          </w:tcPr>
          <w:p>
            <w:r>
              <w:t>Object storage</w:t>
            </w:r>
          </w:p>
        </w:tc>
        <w:tc>
          <w:tcPr>
            <w:tcW w:type="dxa" w:w="3360"/>
            <w:vAlign w:val="top"/>
          </w:tcPr>
          <w:p>
            <w:r>
              <w:t>S3-compatible storage</w:t>
            </w:r>
          </w:p>
        </w:tc>
        <w:tc>
          <w:tcPr>
            <w:tcW w:type="dxa" w:w="3360"/>
            <w:vAlign w:val="top"/>
          </w:tcPr>
          <w:p>
            <w:r>
              <w:t>Documents, versions and large files</w:t>
            </w:r>
          </w:p>
        </w:tc>
      </w:tr>
      <w:tr>
        <w:tc>
          <w:tcPr>
            <w:tcW w:type="dxa" w:w="3360"/>
            <w:vAlign w:val="top"/>
          </w:tcPr>
          <w:p>
            <w:r>
              <w:t>Search</w:t>
            </w:r>
          </w:p>
        </w:tc>
        <w:tc>
          <w:tcPr>
            <w:tcW w:type="dxa" w:w="3360"/>
            <w:vAlign w:val="top"/>
          </w:tcPr>
          <w:p>
            <w:r>
              <w:t>PostgreSQL FTS initially; OpenSearch later</w:t>
            </w:r>
          </w:p>
        </w:tc>
        <w:tc>
          <w:tcPr>
            <w:tcW w:type="dxa" w:w="3360"/>
            <w:vAlign w:val="top"/>
          </w:tcPr>
          <w:p>
            <w:r>
              <w:t>Avoid premature complexity</w:t>
            </w:r>
          </w:p>
        </w:tc>
      </w:tr>
      <w:tr>
        <w:tc>
          <w:tcPr>
            <w:tcW w:type="dxa" w:w="3360"/>
            <w:vAlign w:val="top"/>
          </w:tcPr>
          <w:p>
            <w:r>
              <w:t>Auth</w:t>
            </w:r>
          </w:p>
        </w:tc>
        <w:tc>
          <w:tcPr>
            <w:tcW w:type="dxa" w:w="3360"/>
            <w:vAlign w:val="top"/>
          </w:tcPr>
          <w:p>
            <w:r>
              <w:t>OIDC/OAuth2 provider; managed identity preferred</w:t>
            </w:r>
          </w:p>
        </w:tc>
        <w:tc>
          <w:tcPr>
            <w:tcW w:type="dxa" w:w="3360"/>
            <w:vAlign w:val="top"/>
          </w:tcPr>
          <w:p>
            <w:r>
              <w:t>Secure authentication and SSO path</w:t>
            </w:r>
          </w:p>
        </w:tc>
      </w:tr>
      <w:tr>
        <w:tc>
          <w:tcPr>
            <w:tcW w:type="dxa" w:w="3360"/>
            <w:vAlign w:val="top"/>
          </w:tcPr>
          <w:p>
            <w:r>
              <w:t>Email</w:t>
            </w:r>
          </w:p>
        </w:tc>
        <w:tc>
          <w:tcPr>
            <w:tcW w:type="dxa" w:w="3360"/>
            <w:vAlign w:val="top"/>
          </w:tcPr>
          <w:p>
            <w:r>
              <w:t>Transactional email provider</w:t>
            </w:r>
          </w:p>
        </w:tc>
        <w:tc>
          <w:tcPr>
            <w:tcW w:type="dxa" w:w="3360"/>
            <w:vAlign w:val="top"/>
          </w:tcPr>
          <w:p>
            <w:r>
              <w:t>Reliable delivery and templates</w:t>
            </w:r>
          </w:p>
        </w:tc>
      </w:tr>
      <w:tr>
        <w:tc>
          <w:tcPr>
            <w:tcW w:type="dxa" w:w="3360"/>
            <w:vAlign w:val="top"/>
          </w:tcPr>
          <w:p>
            <w:r>
              <w:t>WhatsApp</w:t>
            </w:r>
          </w:p>
        </w:tc>
        <w:tc>
          <w:tcPr>
            <w:tcW w:type="dxa" w:w="3360"/>
            <w:vAlign w:val="top"/>
          </w:tcPr>
          <w:p>
            <w:r>
              <w:t>Official WhatsApp Business provider abstraction</w:t>
            </w:r>
          </w:p>
        </w:tc>
        <w:tc>
          <w:tcPr>
            <w:tcW w:type="dxa" w:w="3360"/>
            <w:vAlign w:val="top"/>
          </w:tcPr>
          <w:p>
            <w:r>
              <w:t>Optional notification channel</w:t>
            </w:r>
          </w:p>
        </w:tc>
      </w:tr>
      <w:tr>
        <w:tc>
          <w:tcPr>
            <w:tcW w:type="dxa" w:w="3360"/>
            <w:vAlign w:val="top"/>
          </w:tcPr>
          <w:p>
            <w:r>
              <w:t>Observability</w:t>
            </w:r>
          </w:p>
        </w:tc>
        <w:tc>
          <w:tcPr>
            <w:tcW w:type="dxa" w:w="3360"/>
            <w:vAlign w:val="top"/>
          </w:tcPr>
          <w:p>
            <w:r>
              <w:t>OpenTelemetry + centralized logs + metrics</w:t>
            </w:r>
          </w:p>
        </w:tc>
        <w:tc>
          <w:tcPr>
            <w:tcW w:type="dxa" w:w="3360"/>
            <w:vAlign w:val="top"/>
          </w:tcPr>
          <w:p>
            <w:r>
              <w:t>Trace requests/jobs/provider calls</w:t>
            </w:r>
          </w:p>
        </w:tc>
      </w:tr>
      <w:tr>
        <w:tc>
          <w:tcPr>
            <w:tcW w:type="dxa" w:w="3360"/>
            <w:vAlign w:val="top"/>
          </w:tcPr>
          <w:p>
            <w:r>
              <w:t>Error tracking</w:t>
            </w:r>
          </w:p>
        </w:tc>
        <w:tc>
          <w:tcPr>
            <w:tcW w:type="dxa" w:w="3360"/>
            <w:vAlign w:val="top"/>
          </w:tcPr>
          <w:p>
            <w:r>
              <w:t>Sentry or equivalent</w:t>
            </w:r>
          </w:p>
        </w:tc>
        <w:tc>
          <w:tcPr>
            <w:tcW w:type="dxa" w:w="3360"/>
            <w:vAlign w:val="top"/>
          </w:tcPr>
          <w:p>
            <w:r>
              <w:t>Fast production diagnosis</w:t>
            </w:r>
          </w:p>
        </w:tc>
      </w:tr>
      <w:tr>
        <w:tc>
          <w:tcPr>
            <w:tcW w:type="dxa" w:w="3360"/>
            <w:vAlign w:val="top"/>
          </w:tcPr>
          <w:p>
            <w:r>
              <w:t>CI/CD</w:t>
            </w:r>
          </w:p>
        </w:tc>
        <w:tc>
          <w:tcPr>
            <w:tcW w:type="dxa" w:w="3360"/>
            <w:vAlign w:val="top"/>
          </w:tcPr>
          <w:p>
            <w:r>
              <w:t>GitHub Actions</w:t>
            </w:r>
          </w:p>
        </w:tc>
        <w:tc>
          <w:tcPr>
            <w:tcW w:type="dxa" w:w="3360"/>
            <w:vAlign w:val="top"/>
          </w:tcPr>
          <w:p>
            <w:r>
              <w:t>Integrated build/test/deploy</w:t>
            </w:r>
          </w:p>
        </w:tc>
      </w:tr>
      <w:tr>
        <w:tc>
          <w:tcPr>
            <w:tcW w:type="dxa" w:w="3360"/>
            <w:vAlign w:val="top"/>
          </w:tcPr>
          <w:p>
            <w:r>
              <w:t>Containers</w:t>
            </w:r>
          </w:p>
        </w:tc>
        <w:tc>
          <w:tcPr>
            <w:tcW w:type="dxa" w:w="3360"/>
            <w:vAlign w:val="top"/>
          </w:tcPr>
          <w:p>
            <w:r>
              <w:t>Docker</w:t>
            </w:r>
          </w:p>
        </w:tc>
        <w:tc>
          <w:tcPr>
            <w:tcW w:type="dxa" w:w="3360"/>
            <w:vAlign w:val="top"/>
          </w:tcPr>
          <w:p>
            <w:r>
              <w:t>Reproducible environments</w:t>
            </w:r>
          </w:p>
        </w:tc>
      </w:tr>
      <w:tr>
        <w:tc>
          <w:tcPr>
            <w:tcW w:type="dxa" w:w="3360"/>
            <w:vAlign w:val="top"/>
          </w:tcPr>
          <w:p>
            <w:r>
              <w:t>Orchestration</w:t>
            </w:r>
          </w:p>
        </w:tc>
        <w:tc>
          <w:tcPr>
            <w:tcW w:type="dxa" w:w="3360"/>
            <w:vAlign w:val="top"/>
          </w:tcPr>
          <w:p>
            <w:r>
              <w:t>Managed container platform initially; Kubernetes when justified</w:t>
            </w:r>
          </w:p>
        </w:tc>
        <w:tc>
          <w:tcPr>
            <w:tcW w:type="dxa" w:w="3360"/>
            <w:vAlign w:val="top"/>
          </w:tcPr>
          <w:p>
            <w:r>
              <w:t>Avoid early operational overhead</w:t>
            </w:r>
          </w:p>
        </w:tc>
      </w:tr>
      <w:tr>
        <w:tc>
          <w:tcPr>
            <w:tcW w:type="dxa" w:w="3360"/>
            <w:vAlign w:val="top"/>
          </w:tcPr>
          <w:p>
            <w:r>
              <w:t>IaC</w:t>
            </w:r>
          </w:p>
        </w:tc>
        <w:tc>
          <w:tcPr>
            <w:tcW w:type="dxa" w:w="3360"/>
            <w:vAlign w:val="top"/>
          </w:tcPr>
          <w:p>
            <w:r>
              <w:t>Terraform</w:t>
            </w:r>
          </w:p>
        </w:tc>
        <w:tc>
          <w:tcPr>
            <w:tcW w:type="dxa" w:w="3360"/>
            <w:vAlign w:val="top"/>
          </w:tcPr>
          <w:p>
            <w:r>
              <w:t>Repeatable infrastructure</w:t>
            </w:r>
          </w:p>
        </w:tc>
      </w:tr>
      <w:tr>
        <w:tc>
          <w:tcPr>
            <w:tcW w:type="dxa" w:w="3360"/>
            <w:vAlign w:val="top"/>
          </w:tcPr>
          <w:p>
            <w:r>
              <w:t>Secrets</w:t>
            </w:r>
          </w:p>
        </w:tc>
        <w:tc>
          <w:tcPr>
            <w:tcW w:type="dxa" w:w="3360"/>
            <w:vAlign w:val="top"/>
          </w:tcPr>
          <w:p>
            <w:r>
              <w:t>Cloud secret manager</w:t>
            </w:r>
          </w:p>
        </w:tc>
        <w:tc>
          <w:tcPr>
            <w:tcW w:type="dxa" w:w="3360"/>
            <w:vAlign w:val="top"/>
          </w:tcPr>
          <w:p>
            <w:r>
              <w:t>No secrets in source/config files</w:t>
            </w:r>
          </w:p>
        </w:tc>
      </w:tr>
      <w:tr>
        <w:tc>
          <w:tcPr>
            <w:tcW w:type="dxa" w:w="3360"/>
            <w:vAlign w:val="top"/>
          </w:tcPr>
          <w:p>
            <w:r>
              <w:t>Testing</w:t>
            </w:r>
          </w:p>
        </w:tc>
        <w:tc>
          <w:tcPr>
            <w:tcW w:type="dxa" w:w="3360"/>
            <w:vAlign w:val="top"/>
          </w:tcPr>
          <w:p>
            <w:r>
              <w:t>Pytest + Playwright + frontend unit tests</w:t>
            </w:r>
          </w:p>
        </w:tc>
        <w:tc>
          <w:tcPr>
            <w:tcW w:type="dxa" w:w="3360"/>
            <w:vAlign w:val="top"/>
          </w:tcPr>
          <w:p>
            <w:r>
              <w:t>API, workflow and end-to-end coverage</w:t>
            </w:r>
          </w:p>
        </w:tc>
      </w:tr>
    </w:tbl>
    <w:p>
      <w:pPr>
        <w:pStyle w:val="Heading1"/>
      </w:pPr>
      <w:r>
        <w:t>3. Logical Architecture</w:t>
      </w:r>
    </w:p>
    <w:p>
      <w:r>
        <w:t>Recommended initial architecture is a modular monolith with independently deployable workers, not a large microservice fleet. Domain boundaries should be explicit so individual services can be extracted later.</w:t>
      </w:r>
    </w:p>
    <w:p>
      <w:r>
        <w:t>High-level flow:</w:t>
      </w:r>
    </w:p>
    <w:p>
      <w:r>
        <w:t>Browser → CDN/WAF → Next.js → API Gateway/Load Balancer → FastAPI application → PostgreSQL / Redis / Object Storage. Scheduler → Job Queue → Worker → Domain services → Notifications / Integrations. Observability receives logs, metrics and traces from all components.</w:t>
      </w:r>
    </w:p>
    <w:p>
      <w:pPr>
        <w:pStyle w:val="Heading2"/>
      </w:pPr>
      <w:r>
        <w:t>3.1 Core modules</w:t>
      </w:r>
    </w:p>
    <w:p>
      <w:pPr>
        <w:pStyle w:val="ListBullet"/>
      </w:pPr>
      <w:r>
        <w:t>Identity &amp; Access</w:t>
      </w:r>
    </w:p>
    <w:p>
      <w:pPr>
        <w:pStyle w:val="ListBullet"/>
      </w:pPr>
      <w:r>
        <w:t>Tenant &amp; Organization</w:t>
      </w:r>
    </w:p>
    <w:p>
      <w:pPr>
        <w:pStyle w:val="ListBullet"/>
      </w:pPr>
      <w:r>
        <w:t>Compliance Catalogue &amp; Rules</w:t>
      </w:r>
    </w:p>
    <w:p>
      <w:pPr>
        <w:pStyle w:val="ListBullet"/>
      </w:pPr>
      <w:r>
        <w:t>Compliance Lifecycle</w:t>
      </w:r>
    </w:p>
    <w:p>
      <w:pPr>
        <w:pStyle w:val="ListBullet"/>
      </w:pPr>
      <w:r>
        <w:t>Tasks &amp; Workflow</w:t>
      </w:r>
    </w:p>
    <w:p>
      <w:pPr>
        <w:pStyle w:val="ListBullet"/>
      </w:pPr>
      <w:r>
        <w:t>Documents &amp; Evidence</w:t>
      </w:r>
    </w:p>
    <w:p>
      <w:pPr>
        <w:pStyle w:val="ListBullet"/>
      </w:pPr>
      <w:r>
        <w:t>Calendar &amp; Scheduling</w:t>
      </w:r>
    </w:p>
    <w:p>
      <w:pPr>
        <w:pStyle w:val="ListBullet"/>
      </w:pPr>
      <w:r>
        <w:t>Notifications</w:t>
      </w:r>
    </w:p>
    <w:p>
      <w:pPr>
        <w:pStyle w:val="ListBullet"/>
      </w:pPr>
      <w:r>
        <w:t>Reports &amp; Analytics</w:t>
      </w:r>
    </w:p>
    <w:p>
      <w:pPr>
        <w:pStyle w:val="ListBullet"/>
      </w:pPr>
      <w:r>
        <w:t>Audit</w:t>
      </w:r>
    </w:p>
    <w:p>
      <w:pPr>
        <w:pStyle w:val="ListBullet"/>
      </w:pPr>
      <w:r>
        <w:t>Subscription &amp; Entitlements</w:t>
      </w:r>
    </w:p>
    <w:p>
      <w:pPr>
        <w:pStyle w:val="ListBullet"/>
      </w:pPr>
      <w:r>
        <w:t>Integrations</w:t>
      </w:r>
    </w:p>
    <w:p>
      <w:pPr>
        <w:pStyle w:val="ListBullet"/>
      </w:pPr>
      <w:r>
        <w:t>AI Orchestration (future)</w:t>
      </w:r>
    </w:p>
    <w:p>
      <w:pPr>
        <w:pStyle w:val="Heading1"/>
      </w:pPr>
      <w:r>
        <w:t>4. Deployment Architecture</w:t>
      </w:r>
    </w:p>
    <w:p>
      <w:r>
        <w:t>Production topology should separate public ingress, application runtime, workers, data services and object storage.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Component</w:t>
            </w:r>
          </w:p>
        </w:tc>
        <w:tc>
          <w:tcPr>
            <w:tcW w:type="dxa" w:w="3360"/>
            <w:vAlign w:val="center"/>
          </w:tcPr>
          <w:p>
            <w:r>
              <w:rPr>
                <w:b/>
              </w:rPr>
              <w:t>Deployment</w:t>
            </w:r>
          </w:p>
        </w:tc>
        <w:tc>
          <w:tcPr>
            <w:tcW w:type="dxa" w:w="3360"/>
            <w:vAlign w:val="center"/>
          </w:tcPr>
          <w:p>
            <w:r>
              <w:rPr>
                <w:b/>
              </w:rPr>
              <w:t>Scaling</w:t>
            </w:r>
          </w:p>
        </w:tc>
      </w:tr>
      <w:tr>
        <w:tc>
          <w:tcPr>
            <w:tcW w:type="dxa" w:w="3360"/>
            <w:vAlign w:val="top"/>
          </w:tcPr>
          <w:p>
            <w:r>
              <w:t>CDN/WAF</w:t>
            </w:r>
          </w:p>
        </w:tc>
        <w:tc>
          <w:tcPr>
            <w:tcW w:type="dxa" w:w="3360"/>
            <w:vAlign w:val="top"/>
          </w:tcPr>
          <w:p>
            <w:r>
              <w:t>Managed cloud edge</w:t>
            </w:r>
          </w:p>
        </w:tc>
        <w:tc>
          <w:tcPr>
            <w:tcW w:type="dxa" w:w="3360"/>
            <w:vAlign w:val="top"/>
          </w:tcPr>
          <w:p>
            <w:r>
              <w:t>Provider-managed</w:t>
            </w:r>
          </w:p>
        </w:tc>
      </w:tr>
      <w:tr>
        <w:tc>
          <w:tcPr>
            <w:tcW w:type="dxa" w:w="3360"/>
            <w:vAlign w:val="top"/>
          </w:tcPr>
          <w:p>
            <w:r>
              <w:t>Web</w:t>
            </w:r>
          </w:p>
        </w:tc>
        <w:tc>
          <w:tcPr>
            <w:tcW w:type="dxa" w:w="3360"/>
            <w:vAlign w:val="top"/>
          </w:tcPr>
          <w:p>
            <w:r>
              <w:t>Container/serverless Next.js</w:t>
            </w:r>
          </w:p>
        </w:tc>
        <w:tc>
          <w:tcPr>
            <w:tcW w:type="dxa" w:w="3360"/>
            <w:vAlign w:val="top"/>
          </w:tcPr>
          <w:p>
            <w:r>
              <w:t>Horizontal</w:t>
            </w:r>
          </w:p>
        </w:tc>
      </w:tr>
      <w:tr>
        <w:tc>
          <w:tcPr>
            <w:tcW w:type="dxa" w:w="3360"/>
            <w:vAlign w:val="top"/>
          </w:tcPr>
          <w:p>
            <w:r>
              <w:t>API</w:t>
            </w:r>
          </w:p>
        </w:tc>
        <w:tc>
          <w:tcPr>
            <w:tcW w:type="dxa" w:w="3360"/>
            <w:vAlign w:val="top"/>
          </w:tcPr>
          <w:p>
            <w:r>
              <w:t>2+ stateless FastAPI instances</w:t>
            </w:r>
          </w:p>
        </w:tc>
        <w:tc>
          <w:tcPr>
            <w:tcW w:type="dxa" w:w="3360"/>
            <w:vAlign w:val="top"/>
          </w:tcPr>
          <w:p>
            <w:r>
              <w:t>Horizontal</w:t>
            </w:r>
          </w:p>
        </w:tc>
      </w:tr>
      <w:tr>
        <w:tc>
          <w:tcPr>
            <w:tcW w:type="dxa" w:w="3360"/>
            <w:vAlign w:val="top"/>
          </w:tcPr>
          <w:p>
            <w:r>
              <w:t>Worker</w:t>
            </w:r>
          </w:p>
        </w:tc>
        <w:tc>
          <w:tcPr>
            <w:tcW w:type="dxa" w:w="3360"/>
            <w:vAlign w:val="top"/>
          </w:tcPr>
          <w:p>
            <w:r>
              <w:t>Separate worker deployment</w:t>
            </w:r>
          </w:p>
        </w:tc>
        <w:tc>
          <w:tcPr>
            <w:tcW w:type="dxa" w:w="3360"/>
            <w:vAlign w:val="top"/>
          </w:tcPr>
          <w:p>
            <w:r>
              <w:t>Horizontal by queue depth</w:t>
            </w:r>
          </w:p>
        </w:tc>
      </w:tr>
      <w:tr>
        <w:tc>
          <w:tcPr>
            <w:tcW w:type="dxa" w:w="3360"/>
            <w:vAlign w:val="top"/>
          </w:tcPr>
          <w:p>
            <w:r>
              <w:t>Scheduler</w:t>
            </w:r>
          </w:p>
        </w:tc>
        <w:tc>
          <w:tcPr>
            <w:tcW w:type="dxa" w:w="3360"/>
            <w:vAlign w:val="top"/>
          </w:tcPr>
          <w:p>
            <w:r>
              <w:t>Single active scheduler with distributed lock</w:t>
            </w:r>
          </w:p>
        </w:tc>
        <w:tc>
          <w:tcPr>
            <w:tcW w:type="dxa" w:w="3360"/>
            <w:vAlign w:val="top"/>
          </w:tcPr>
          <w:p>
            <w:r>
              <w:t>Controlled</w:t>
            </w:r>
          </w:p>
        </w:tc>
      </w:tr>
      <w:tr>
        <w:tc>
          <w:tcPr>
            <w:tcW w:type="dxa" w:w="3360"/>
            <w:vAlign w:val="top"/>
          </w:tcPr>
          <w:p>
            <w:r>
              <w:t>PostgreSQL</w:t>
            </w:r>
          </w:p>
        </w:tc>
        <w:tc>
          <w:tcPr>
            <w:tcW w:type="dxa" w:w="3360"/>
            <w:vAlign w:val="top"/>
          </w:tcPr>
          <w:p>
            <w:r>
              <w:t>Managed HA database</w:t>
            </w:r>
          </w:p>
        </w:tc>
        <w:tc>
          <w:tcPr>
            <w:tcW w:type="dxa" w:w="3360"/>
            <w:vAlign w:val="top"/>
          </w:tcPr>
          <w:p>
            <w:r>
              <w:t>Vertical + read replicas later</w:t>
            </w:r>
          </w:p>
        </w:tc>
      </w:tr>
      <w:tr>
        <w:tc>
          <w:tcPr>
            <w:tcW w:type="dxa" w:w="3360"/>
            <w:vAlign w:val="top"/>
          </w:tcPr>
          <w:p>
            <w:r>
              <w:t>Redis</w:t>
            </w:r>
          </w:p>
        </w:tc>
        <w:tc>
          <w:tcPr>
            <w:tcW w:type="dxa" w:w="3360"/>
            <w:vAlign w:val="top"/>
          </w:tcPr>
          <w:p>
            <w:r>
              <w:t>Managed Redis</w:t>
            </w:r>
          </w:p>
        </w:tc>
        <w:tc>
          <w:tcPr>
            <w:tcW w:type="dxa" w:w="3360"/>
            <w:vAlign w:val="top"/>
          </w:tcPr>
          <w:p>
            <w:r>
              <w:t>Vertical/cluster later</w:t>
            </w:r>
          </w:p>
        </w:tc>
      </w:tr>
      <w:tr>
        <w:tc>
          <w:tcPr>
            <w:tcW w:type="dxa" w:w="3360"/>
            <w:vAlign w:val="top"/>
          </w:tcPr>
          <w:p>
            <w:r>
              <w:t>Object storage</w:t>
            </w:r>
          </w:p>
        </w:tc>
        <w:tc>
          <w:tcPr>
            <w:tcW w:type="dxa" w:w="3360"/>
            <w:vAlign w:val="top"/>
          </w:tcPr>
          <w:p>
            <w:r>
              <w:t>Managed S3-compatible</w:t>
            </w:r>
          </w:p>
        </w:tc>
        <w:tc>
          <w:tcPr>
            <w:tcW w:type="dxa" w:w="3360"/>
            <w:vAlign w:val="top"/>
          </w:tcPr>
          <w:p>
            <w:r>
              <w:t>Provider-managed</w:t>
            </w:r>
          </w:p>
        </w:tc>
      </w:tr>
      <w:tr>
        <w:tc>
          <w:tcPr>
            <w:tcW w:type="dxa" w:w="3360"/>
            <w:vAlign w:val="top"/>
          </w:tcPr>
          <w:p>
            <w:r>
              <w:t>Monitoring</w:t>
            </w:r>
          </w:p>
        </w:tc>
        <w:tc>
          <w:tcPr>
            <w:tcW w:type="dxa" w:w="3360"/>
            <w:vAlign w:val="top"/>
          </w:tcPr>
          <w:p>
            <w:r>
              <w:t>Managed/hosted observability</w:t>
            </w:r>
          </w:p>
        </w:tc>
        <w:tc>
          <w:tcPr>
            <w:tcW w:type="dxa" w:w="3360"/>
            <w:vAlign w:val="top"/>
          </w:tcPr>
          <w:p>
            <w:r>
              <w:t>Provider-managed</w:t>
            </w:r>
          </w:p>
        </w:tc>
      </w:tr>
    </w:tbl>
    <w:p>
      <w:pPr>
        <w:pStyle w:val="Heading2"/>
      </w:pPr>
      <w:r>
        <w:t>4.1 Environments</w:t>
      </w:r>
    </w:p>
    <w:p>
      <w:pPr>
        <w:pStyle w:val="ListBullet"/>
      </w:pPr>
      <w:r>
        <w:t>Development</w:t>
      </w:r>
    </w:p>
    <w:p>
      <w:pPr>
        <w:pStyle w:val="ListBullet"/>
      </w:pPr>
      <w:r>
        <w:t>Testing/QA</w:t>
      </w:r>
    </w:p>
    <w:p>
      <w:pPr>
        <w:pStyle w:val="ListBullet"/>
      </w:pPr>
      <w:r>
        <w:t>Staging</w:t>
      </w:r>
    </w:p>
    <w:p>
      <w:pPr>
        <w:pStyle w:val="ListBullet"/>
      </w:pPr>
      <w:r>
        <w:t>Production</w:t>
      </w:r>
    </w:p>
    <w:p>
      <w:r>
        <w:t>Production data must never be copied into lower environments without an approved anonymization process.</w:t>
      </w:r>
    </w:p>
    <w:p>
      <w:pPr>
        <w:pStyle w:val="Heading1"/>
      </w:pPr>
      <w:r>
        <w:t>5. Multi-Tenant Architecture</w:t>
      </w:r>
    </w:p>
    <w:p>
      <w:r>
        <w:t>Use logical multi-tenancy with a mandatory tenant_id boundary in the application and database. For most SaaS scale, shared PostgreSQL with tenant_id is the best initial balance of cost and manageability.</w:t>
      </w:r>
    </w:p>
    <w:p>
      <w:pPr>
        <w:pStyle w:val="Heading2"/>
      </w:pPr>
      <w:r>
        <w:t>5.1 Tenant model</w:t>
      </w:r>
    </w:p>
    <w:p>
      <w:pPr>
        <w:pStyle w:val="ListBullet"/>
      </w:pPr>
      <w:r>
        <w:t>Tenant represents the billing/security boundary.</w:t>
      </w:r>
    </w:p>
    <w:p>
      <w:pPr>
        <w:pStyle w:val="ListBullet"/>
      </w:pPr>
      <w:r>
        <w:t>Organization represents an NGO/client organization managed inside a tenant.</w:t>
      </w:r>
    </w:p>
    <w:p>
      <w:pPr>
        <w:pStyle w:val="ListBullet"/>
      </w:pPr>
      <w:r>
        <w:t>A normal NGO tenant may contain one organization; consultant/CA tenants may contain many.</w:t>
      </w:r>
    </w:p>
    <w:p>
      <w:pPr>
        <w:pStyle w:val="ListBullet"/>
      </w:pPr>
      <w:r>
        <w:t>All tenant-owned tables carry tenant_id directly or through an enforced ownership relationship.</w:t>
      </w:r>
    </w:p>
    <w:p>
      <w:pPr>
        <w:pStyle w:val="ListBullet"/>
      </w:pPr>
      <w:r>
        <w:t>Repository/service methods must require tenant context.</w:t>
      </w:r>
    </w:p>
    <w:p>
      <w:pPr>
        <w:pStyle w:val="ListBullet"/>
      </w:pPr>
      <w:r>
        <w:t>Authorization checks occur server-side on every protected operation.</w:t>
      </w:r>
    </w:p>
    <w:p>
      <w:pPr>
        <w:pStyle w:val="Heading2"/>
      </w:pPr>
      <w:r>
        <w:t>5.2 Isolation safeguards</w:t>
      </w:r>
    </w:p>
    <w:p>
      <w:pPr>
        <w:pStyle w:val="ListBullet"/>
      </w:pPr>
      <w:r>
        <w:t>Composite indexes begin with tenant_id for high-volume tenant-owned tables.</w:t>
      </w:r>
    </w:p>
    <w:p>
      <w:pPr>
        <w:pStyle w:val="ListBullet"/>
      </w:pPr>
      <w:r>
        <w:t>Automated cross-tenant authorization tests.</w:t>
      </w:r>
    </w:p>
    <w:p>
      <w:pPr>
        <w:pStyle w:val="ListBullet"/>
      </w:pPr>
      <w:r>
        <w:t>Optional PostgreSQL Row Level Security can be added for defense in depth.</w:t>
      </w:r>
    </w:p>
    <w:p>
      <w:pPr>
        <w:pStyle w:val="ListBullet"/>
      </w:pPr>
      <w:r>
        <w:t>Object-storage keys include tenant/organization identifiers.</w:t>
      </w:r>
    </w:p>
    <w:p>
      <w:pPr>
        <w:pStyle w:val="ListBullet"/>
      </w:pPr>
      <w:r>
        <w:t>Cache keys include tenant identifiers.</w:t>
      </w:r>
    </w:p>
    <w:p>
      <w:pPr>
        <w:pStyle w:val="ListBullet"/>
      </w:pPr>
      <w:r>
        <w:t>Background jobs carry tenant context explicitly.</w:t>
      </w:r>
    </w:p>
    <w:p>
      <w:pPr>
        <w:pStyle w:val="ListBullet"/>
      </w:pPr>
      <w:r>
        <w:t>Exports are generated only after authorization.</w:t>
      </w:r>
    </w:p>
    <w:p>
      <w:pPr>
        <w:pStyle w:val="Heading1"/>
      </w:pPr>
      <w:r>
        <w:t>6. Identity &amp; Authorization Design</w:t>
      </w:r>
    </w:p>
    <w:p>
      <w:r>
        <w:t>Use OIDC/OAuth2 with short-lived access tokens and secure refresh/session handling. A managed identity provider is preferred unless there is a strong requirement to own the identity system.</w:t>
      </w:r>
    </w:p>
    <w:p>
      <w:pPr>
        <w:pStyle w:val="Heading2"/>
      </w:pPr>
      <w:r>
        <w:t>6.1 RBAC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Role</w:t>
            </w:r>
          </w:p>
        </w:tc>
        <w:tc>
          <w:tcPr>
            <w:tcW w:type="dxa" w:w="5040"/>
            <w:vAlign w:val="center"/>
          </w:tcPr>
          <w:p>
            <w:r>
              <w:rPr>
                <w:b/>
              </w:rPr>
              <w:t>Typical permissions</w:t>
            </w:r>
          </w:p>
        </w:tc>
      </w:tr>
      <w:tr>
        <w:tc>
          <w:tcPr>
            <w:tcW w:type="dxa" w:w="5040"/>
            <w:vAlign w:val="top"/>
          </w:tcPr>
          <w:p>
            <w:r>
              <w:t>Platform Admin</w:t>
            </w:r>
          </w:p>
        </w:tc>
        <w:tc>
          <w:tcPr>
            <w:tcW w:type="dxa" w:w="5040"/>
            <w:vAlign w:val="top"/>
          </w:tcPr>
          <w:p>
            <w:r>
              <w:t>Platform support/configuration, controlled tenant support</w:t>
            </w:r>
          </w:p>
        </w:tc>
      </w:tr>
      <w:tr>
        <w:tc>
          <w:tcPr>
            <w:tcW w:type="dxa" w:w="5040"/>
            <w:vAlign w:val="top"/>
          </w:tcPr>
          <w:p>
            <w:r>
              <w:t>Tenant Admin</w:t>
            </w:r>
          </w:p>
        </w:tc>
        <w:tc>
          <w:tcPr>
            <w:tcW w:type="dxa" w:w="5040"/>
            <w:vAlign w:val="top"/>
          </w:tcPr>
          <w:p>
            <w:r>
              <w:t>Tenant settings, users, organizations, billing</w:t>
            </w:r>
          </w:p>
        </w:tc>
      </w:tr>
      <w:tr>
        <w:tc>
          <w:tcPr>
            <w:tcW w:type="dxa" w:w="5040"/>
            <w:vAlign w:val="top"/>
          </w:tcPr>
          <w:p>
            <w:r>
              <w:t>Organization Admin</w:t>
            </w:r>
          </w:p>
        </w:tc>
        <w:tc>
          <w:tcPr>
            <w:tcW w:type="dxa" w:w="5040"/>
            <w:vAlign w:val="top"/>
          </w:tcPr>
          <w:p>
            <w:r>
              <w:t>Organization data, compliance, documents, users within scope</w:t>
            </w:r>
          </w:p>
        </w:tc>
      </w:tr>
      <w:tr>
        <w:tc>
          <w:tcPr>
            <w:tcW w:type="dxa" w:w="5040"/>
            <w:vAlign w:val="top"/>
          </w:tcPr>
          <w:p>
            <w:r>
              <w:t>Compliance Officer</w:t>
            </w:r>
          </w:p>
        </w:tc>
        <w:tc>
          <w:tcPr>
            <w:tcW w:type="dxa" w:w="5040"/>
            <w:vAlign w:val="top"/>
          </w:tcPr>
          <w:p>
            <w:r>
              <w:t>Compliance, tasks, evidence, reports</w:t>
            </w:r>
          </w:p>
        </w:tc>
      </w:tr>
      <w:tr>
        <w:tc>
          <w:tcPr>
            <w:tcW w:type="dxa" w:w="5040"/>
            <w:vAlign w:val="top"/>
          </w:tcPr>
          <w:p>
            <w:r>
              <w:t>Accountant</w:t>
            </w:r>
          </w:p>
        </w:tc>
        <w:tc>
          <w:tcPr>
            <w:tcW w:type="dxa" w:w="5040"/>
            <w:vAlign w:val="top"/>
          </w:tcPr>
          <w:p>
            <w:r>
              <w:t>Assigned financial/tax compliance and documents</w:t>
            </w:r>
          </w:p>
        </w:tc>
      </w:tr>
      <w:tr>
        <w:tc>
          <w:tcPr>
            <w:tcW w:type="dxa" w:w="5040"/>
            <w:vAlign w:val="top"/>
          </w:tcPr>
          <w:p>
            <w:r>
              <w:t>Auditor</w:t>
            </w:r>
          </w:p>
        </w:tc>
        <w:tc>
          <w:tcPr>
            <w:tcW w:type="dxa" w:w="5040"/>
            <w:vAlign w:val="top"/>
          </w:tcPr>
          <w:p>
            <w:r>
              <w:t>Read/review assigned evidence and audit history</w:t>
            </w:r>
          </w:p>
        </w:tc>
      </w:tr>
      <w:tr>
        <w:tc>
          <w:tcPr>
            <w:tcW w:type="dxa" w:w="5040"/>
            <w:vAlign w:val="top"/>
          </w:tcPr>
          <w:p>
            <w:r>
              <w:t>Consultant</w:t>
            </w:r>
          </w:p>
        </w:tc>
        <w:tc>
          <w:tcPr>
            <w:tcW w:type="dxa" w:w="5040"/>
            <w:vAlign w:val="top"/>
          </w:tcPr>
          <w:p>
            <w:r>
              <w:t>Authorized client organizations and compliance work</w:t>
            </w:r>
          </w:p>
        </w:tc>
      </w:tr>
      <w:tr>
        <w:tc>
          <w:tcPr>
            <w:tcW w:type="dxa" w:w="5040"/>
            <w:vAlign w:val="top"/>
          </w:tcPr>
          <w:p>
            <w:r>
              <w:t>Management</w:t>
            </w:r>
          </w:p>
        </w:tc>
        <w:tc>
          <w:tcPr>
            <w:tcW w:type="dxa" w:w="5040"/>
            <w:vAlign w:val="top"/>
          </w:tcPr>
          <w:p>
            <w:r>
              <w:t>Dashboards, reports, approvals</w:t>
            </w:r>
          </w:p>
        </w:tc>
      </w:tr>
      <w:tr>
        <w:tc>
          <w:tcPr>
            <w:tcW w:type="dxa" w:w="5040"/>
            <w:vAlign w:val="top"/>
          </w:tcPr>
          <w:p>
            <w:r>
              <w:t>Viewer</w:t>
            </w:r>
          </w:p>
        </w:tc>
        <w:tc>
          <w:tcPr>
            <w:tcW w:type="dxa" w:w="5040"/>
            <w:vAlign w:val="top"/>
          </w:tcPr>
          <w:p>
            <w:r>
              <w:t>Read-only permitted records</w:t>
            </w:r>
          </w:p>
        </w:tc>
      </w:tr>
    </w:tbl>
    <w:p>
      <w:r>
        <w:t>Use permission scopes such as organization.read, compliance.update, document.download, report.export, user.manage, billing.manage. Role-to-permission mappings should be data-driven.</w:t>
      </w:r>
    </w:p>
    <w:p>
      <w:pPr>
        <w:pStyle w:val="Heading1"/>
      </w:pPr>
      <w:r>
        <w:t>7. Core Domain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Entity</w:t>
            </w:r>
          </w:p>
        </w:tc>
        <w:tc>
          <w:tcPr>
            <w:tcW w:type="dxa" w:w="3360"/>
            <w:vAlign w:val="center"/>
          </w:tcPr>
          <w:p>
            <w:r>
              <w:rPr>
                <w:b/>
              </w:rPr>
              <w:t>Important fields</w:t>
            </w:r>
          </w:p>
        </w:tc>
        <w:tc>
          <w:tcPr>
            <w:tcW w:type="dxa" w:w="3360"/>
            <w:vAlign w:val="center"/>
          </w:tcPr>
          <w:p>
            <w:r>
              <w:rPr>
                <w:b/>
              </w:rPr>
              <w:t>Notes</w:t>
            </w:r>
          </w:p>
        </w:tc>
      </w:tr>
      <w:tr>
        <w:tc>
          <w:tcPr>
            <w:tcW w:type="dxa" w:w="3360"/>
            <w:vAlign w:val="top"/>
          </w:tcPr>
          <w:p>
            <w:r>
              <w:t>Tenant</w:t>
            </w:r>
          </w:p>
        </w:tc>
        <w:tc>
          <w:tcPr>
            <w:tcW w:type="dxa" w:w="3360"/>
            <w:vAlign w:val="top"/>
          </w:tcPr>
          <w:p>
            <w:r>
              <w:t>id, name, status, plan_id, settings</w:t>
            </w:r>
          </w:p>
        </w:tc>
        <w:tc>
          <w:tcPr>
            <w:tcW w:type="dxa" w:w="3360"/>
            <w:vAlign w:val="top"/>
          </w:tcPr>
          <w:p>
            <w:r>
              <w:t>Billing/security boundary</w:t>
            </w:r>
          </w:p>
        </w:tc>
      </w:tr>
      <w:tr>
        <w:tc>
          <w:tcPr>
            <w:tcW w:type="dxa" w:w="3360"/>
            <w:vAlign w:val="top"/>
          </w:tcPr>
          <w:p>
            <w:r>
              <w:t>Organization</w:t>
            </w:r>
          </w:p>
        </w:tc>
        <w:tc>
          <w:tcPr>
            <w:tcW w:type="dxa" w:w="3360"/>
            <w:vAlign w:val="top"/>
          </w:tcPr>
          <w:p>
            <w:r>
              <w:t>id, tenant_id, legal_type, identifiers, status</w:t>
            </w:r>
          </w:p>
        </w:tc>
        <w:tc>
          <w:tcPr>
            <w:tcW w:type="dxa" w:w="3360"/>
            <w:vAlign w:val="top"/>
          </w:tcPr>
          <w:p>
            <w:r>
              <w:t>NGO/client</w:t>
            </w:r>
          </w:p>
        </w:tc>
      </w:tr>
      <w:tr>
        <w:tc>
          <w:tcPr>
            <w:tcW w:type="dxa" w:w="3360"/>
            <w:vAlign w:val="top"/>
          </w:tcPr>
          <w:p>
            <w:r>
              <w:t>Membership</w:t>
            </w:r>
          </w:p>
        </w:tc>
        <w:tc>
          <w:tcPr>
            <w:tcW w:type="dxa" w:w="3360"/>
            <w:vAlign w:val="top"/>
          </w:tcPr>
          <w:p>
            <w:r>
              <w:t>user_id, tenant_id, organization_id, role_id, status</w:t>
            </w:r>
          </w:p>
        </w:tc>
        <w:tc>
          <w:tcPr>
            <w:tcW w:type="dxa" w:w="3360"/>
            <w:vAlign w:val="top"/>
          </w:tcPr>
          <w:p>
            <w:r>
              <w:t>Authorization scope</w:t>
            </w:r>
          </w:p>
        </w:tc>
      </w:tr>
      <w:tr>
        <w:tc>
          <w:tcPr>
            <w:tcW w:type="dxa" w:w="3360"/>
            <w:vAlign w:val="top"/>
          </w:tcPr>
          <w:p>
            <w:r>
              <w:t>ComplianceDefinition</w:t>
            </w:r>
          </w:p>
        </w:tc>
        <w:tc>
          <w:tcPr>
            <w:tcW w:type="dxa" w:w="3360"/>
            <w:vAlign w:val="top"/>
          </w:tcPr>
          <w:p>
            <w:r>
              <w:t>id, code, version, title, category, rule_config</w:t>
            </w:r>
          </w:p>
        </w:tc>
        <w:tc>
          <w:tcPr>
            <w:tcW w:type="dxa" w:w="3360"/>
            <w:vAlign w:val="top"/>
          </w:tcPr>
          <w:p>
            <w:r>
              <w:t>Reusable obligation</w:t>
            </w:r>
          </w:p>
        </w:tc>
      </w:tr>
      <w:tr>
        <w:tc>
          <w:tcPr>
            <w:tcW w:type="dxa" w:w="3360"/>
            <w:vAlign w:val="top"/>
          </w:tcPr>
          <w:p>
            <w:r>
              <w:t>ApplicabilityRule</w:t>
            </w:r>
          </w:p>
        </w:tc>
        <w:tc>
          <w:tcPr>
            <w:tcW w:type="dxa" w:w="3360"/>
            <w:vAlign w:val="top"/>
          </w:tcPr>
          <w:p>
            <w:r>
              <w:t>id, definition_id, version, conditions</w:t>
            </w:r>
          </w:p>
        </w:tc>
        <w:tc>
          <w:tcPr>
            <w:tcW w:type="dxa" w:w="3360"/>
            <w:vAlign w:val="top"/>
          </w:tcPr>
          <w:p>
            <w:r>
              <w:t>Determines applicability</w:t>
            </w:r>
          </w:p>
        </w:tc>
      </w:tr>
      <w:tr>
        <w:tc>
          <w:tcPr>
            <w:tcW w:type="dxa" w:w="3360"/>
            <w:vAlign w:val="top"/>
          </w:tcPr>
          <w:p>
            <w:r>
              <w:t>ComplianceInstance</w:t>
            </w:r>
          </w:p>
        </w:tc>
        <w:tc>
          <w:tcPr>
            <w:tcW w:type="dxa" w:w="3360"/>
            <w:vAlign w:val="top"/>
          </w:tcPr>
          <w:p>
            <w:r>
              <w:t>id, tenant_id, organization_id, definition_id, period, deadline, status, owner_id</w:t>
            </w:r>
          </w:p>
        </w:tc>
        <w:tc>
          <w:tcPr>
            <w:tcW w:type="dxa" w:w="3360"/>
            <w:vAlign w:val="top"/>
          </w:tcPr>
          <w:p>
            <w:r>
              <w:t>Operational record</w:t>
            </w:r>
          </w:p>
        </w:tc>
      </w:tr>
      <w:tr>
        <w:tc>
          <w:tcPr>
            <w:tcW w:type="dxa" w:w="3360"/>
            <w:vAlign w:val="top"/>
          </w:tcPr>
          <w:p>
            <w:r>
              <w:t>ComplianceTask</w:t>
            </w:r>
          </w:p>
        </w:tc>
        <w:tc>
          <w:tcPr>
            <w:tcW w:type="dxa" w:w="3360"/>
            <w:vAlign w:val="top"/>
          </w:tcPr>
          <w:p>
            <w:r>
              <w:t>id, compliance_id, owner_id, status, due_at, priority</w:t>
            </w:r>
          </w:p>
        </w:tc>
        <w:tc>
          <w:tcPr>
            <w:tcW w:type="dxa" w:w="3360"/>
            <w:vAlign w:val="top"/>
          </w:tcPr>
          <w:p>
            <w:r>
              <w:t>Work item</w:t>
            </w:r>
          </w:p>
        </w:tc>
      </w:tr>
      <w:tr>
        <w:tc>
          <w:tcPr>
            <w:tcW w:type="dxa" w:w="3360"/>
            <w:vAlign w:val="top"/>
          </w:tcPr>
          <w:p>
            <w:r>
              <w:t>Workflow</w:t>
            </w:r>
          </w:p>
        </w:tc>
        <w:tc>
          <w:tcPr>
            <w:tcW w:type="dxa" w:w="3360"/>
            <w:vAlign w:val="top"/>
          </w:tcPr>
          <w:p>
            <w:r>
              <w:t>id, tenant_id, name, version</w:t>
            </w:r>
          </w:p>
        </w:tc>
        <w:tc>
          <w:tcPr>
            <w:tcW w:type="dxa" w:w="3360"/>
            <w:vAlign w:val="top"/>
          </w:tcPr>
          <w:p>
            <w:r>
              <w:t>Configurable lifecycle</w:t>
            </w:r>
          </w:p>
        </w:tc>
      </w:tr>
      <w:tr>
        <w:tc>
          <w:tcPr>
            <w:tcW w:type="dxa" w:w="3360"/>
            <w:vAlign w:val="top"/>
          </w:tcPr>
          <w:p>
            <w:r>
              <w:t>WorkflowTransition</w:t>
            </w:r>
          </w:p>
        </w:tc>
        <w:tc>
          <w:tcPr>
            <w:tcW w:type="dxa" w:w="3360"/>
            <w:vAlign w:val="top"/>
          </w:tcPr>
          <w:p>
            <w:r>
              <w:t>workflow_id, from_state, to_state, conditions</w:t>
            </w:r>
          </w:p>
        </w:tc>
        <w:tc>
          <w:tcPr>
            <w:tcW w:type="dxa" w:w="3360"/>
            <w:vAlign w:val="top"/>
          </w:tcPr>
          <w:p>
            <w:r>
              <w:t>Allowed transitions</w:t>
            </w:r>
          </w:p>
        </w:tc>
      </w:tr>
      <w:tr>
        <w:tc>
          <w:tcPr>
            <w:tcW w:type="dxa" w:w="3360"/>
            <w:vAlign w:val="top"/>
          </w:tcPr>
          <w:p>
            <w:r>
              <w:t>Document</w:t>
            </w:r>
          </w:p>
        </w:tc>
        <w:tc>
          <w:tcPr>
            <w:tcW w:type="dxa" w:w="3360"/>
            <w:vAlign w:val="top"/>
          </w:tcPr>
          <w:p>
            <w:r>
              <w:t>id, tenant_id, organization_id, type, storage_key, expiry_at</w:t>
            </w:r>
          </w:p>
        </w:tc>
        <w:tc>
          <w:tcPr>
            <w:tcW w:type="dxa" w:w="3360"/>
            <w:vAlign w:val="top"/>
          </w:tcPr>
          <w:p>
            <w:r>
              <w:t>Logical document</w:t>
            </w:r>
          </w:p>
        </w:tc>
      </w:tr>
      <w:tr>
        <w:tc>
          <w:tcPr>
            <w:tcW w:type="dxa" w:w="3360"/>
            <w:vAlign w:val="top"/>
          </w:tcPr>
          <w:p>
            <w:r>
              <w:t>DocumentVersion</w:t>
            </w:r>
          </w:p>
        </w:tc>
        <w:tc>
          <w:tcPr>
            <w:tcW w:type="dxa" w:w="3360"/>
            <w:vAlign w:val="top"/>
          </w:tcPr>
          <w:p>
            <w:r>
              <w:t>id, document_id, version, checksum, storage_key, uploaded_by</w:t>
            </w:r>
          </w:p>
        </w:tc>
        <w:tc>
          <w:tcPr>
            <w:tcW w:type="dxa" w:w="3360"/>
            <w:vAlign w:val="top"/>
          </w:tcPr>
          <w:p>
            <w:r>
              <w:t>Immutable version</w:t>
            </w:r>
          </w:p>
        </w:tc>
      </w:tr>
      <w:tr>
        <w:tc>
          <w:tcPr>
            <w:tcW w:type="dxa" w:w="3360"/>
            <w:vAlign w:val="top"/>
          </w:tcPr>
          <w:p>
            <w:r>
              <w:t>Submission</w:t>
            </w:r>
          </w:p>
        </w:tc>
        <w:tc>
          <w:tcPr>
            <w:tcW w:type="dxa" w:w="3360"/>
            <w:vAlign w:val="top"/>
          </w:tcPr>
          <w:p>
            <w:r>
              <w:t>id, compliance_id, submitted_at, acknowledgement_ref, proof_document_id</w:t>
            </w:r>
          </w:p>
        </w:tc>
        <w:tc>
          <w:tcPr>
            <w:tcW w:type="dxa" w:w="3360"/>
            <w:vAlign w:val="top"/>
          </w:tcPr>
          <w:p>
            <w:r>
              <w:t>Filing evidence</w:t>
            </w:r>
          </w:p>
        </w:tc>
      </w:tr>
      <w:tr>
        <w:tc>
          <w:tcPr>
            <w:tcW w:type="dxa" w:w="3360"/>
            <w:vAlign w:val="top"/>
          </w:tcPr>
          <w:p>
            <w:r>
              <w:t>Notification</w:t>
            </w:r>
          </w:p>
        </w:tc>
        <w:tc>
          <w:tcPr>
            <w:tcW w:type="dxa" w:w="3360"/>
            <w:vAlign w:val="top"/>
          </w:tcPr>
          <w:p>
            <w:r>
              <w:t>id, tenant_id, recipient_id, channel, status, event_key</w:t>
            </w:r>
          </w:p>
        </w:tc>
        <w:tc>
          <w:tcPr>
            <w:tcW w:type="dxa" w:w="3360"/>
            <w:vAlign w:val="top"/>
          </w:tcPr>
          <w:p>
            <w:r>
              <w:t>Delivery record</w:t>
            </w:r>
          </w:p>
        </w:tc>
      </w:tr>
      <w:tr>
        <w:tc>
          <w:tcPr>
            <w:tcW w:type="dxa" w:w="3360"/>
            <w:vAlign w:val="top"/>
          </w:tcPr>
          <w:p>
            <w:r>
              <w:t>AuditEvent</w:t>
            </w:r>
          </w:p>
        </w:tc>
        <w:tc>
          <w:tcPr>
            <w:tcW w:type="dxa" w:w="3360"/>
            <w:vAlign w:val="top"/>
          </w:tcPr>
          <w:p>
            <w:r>
              <w:t>id, tenant_id, actor_id, action, entity_type, entity_id, timestamp, metadata</w:t>
            </w:r>
          </w:p>
        </w:tc>
        <w:tc>
          <w:tcPr>
            <w:tcW w:type="dxa" w:w="3360"/>
            <w:vAlign w:val="top"/>
          </w:tcPr>
          <w:p>
            <w:r>
              <w:t>Traceability</w:t>
            </w:r>
          </w:p>
        </w:tc>
      </w:tr>
      <w:tr>
        <w:tc>
          <w:tcPr>
            <w:tcW w:type="dxa" w:w="3360"/>
            <w:vAlign w:val="top"/>
          </w:tcPr>
          <w:p>
            <w:r>
              <w:t>Subscription</w:t>
            </w:r>
          </w:p>
        </w:tc>
        <w:tc>
          <w:tcPr>
            <w:tcW w:type="dxa" w:w="3360"/>
            <w:vAlign w:val="top"/>
          </w:tcPr>
          <w:p>
            <w:r>
              <w:t>id, tenant_id, plan_id, status, period_start, period_end</w:t>
            </w:r>
          </w:p>
        </w:tc>
        <w:tc>
          <w:tcPr>
            <w:tcW w:type="dxa" w:w="3360"/>
            <w:vAlign w:val="top"/>
          </w:tcPr>
          <w:p>
            <w:r>
              <w:t>Billing</w:t>
            </w:r>
          </w:p>
        </w:tc>
      </w:tr>
      <w:tr>
        <w:tc>
          <w:tcPr>
            <w:tcW w:type="dxa" w:w="3360"/>
            <w:vAlign w:val="top"/>
          </w:tcPr>
          <w:p>
            <w:r>
              <w:t>Entitlement</w:t>
            </w:r>
          </w:p>
        </w:tc>
        <w:tc>
          <w:tcPr>
            <w:tcW w:type="dxa" w:w="3360"/>
            <w:vAlign w:val="top"/>
          </w:tcPr>
          <w:p>
            <w:r>
              <w:t>tenant_id, feature, limit, value</w:t>
            </w:r>
          </w:p>
        </w:tc>
        <w:tc>
          <w:tcPr>
            <w:tcW w:type="dxa" w:w="3360"/>
            <w:vAlign w:val="top"/>
          </w:tcPr>
          <w:p>
            <w:r>
              <w:t>Plan enforcement</w:t>
            </w:r>
          </w:p>
        </w:tc>
      </w:tr>
    </w:tbl>
    <w:p>
      <w:pPr>
        <w:pStyle w:val="Heading1"/>
      </w:pPr>
      <w:r>
        <w:t>8. Database Design Principles</w:t>
      </w:r>
    </w:p>
    <w:p>
      <w:pPr>
        <w:pStyle w:val="ListBullet"/>
      </w:pPr>
      <w:r>
        <w:t>Use UUID/ULID identifiers to avoid sequential ID leakage and support distributed creation.</w:t>
      </w:r>
    </w:p>
    <w:p>
      <w:pPr>
        <w:pStyle w:val="ListBullet"/>
      </w:pPr>
      <w:r>
        <w:t>Use timestamptz for timestamps.</w:t>
      </w:r>
    </w:p>
    <w:p>
      <w:pPr>
        <w:pStyle w:val="ListBullet"/>
      </w:pPr>
      <w:r>
        <w:t>Use soft-delete/archive only where business history requires retention; do not soft-delete everything indiscriminately.</w:t>
      </w:r>
    </w:p>
    <w:p>
      <w:pPr>
        <w:pStyle w:val="ListBullet"/>
      </w:pPr>
      <w:r>
        <w:t>Use foreign keys for integrity.</w:t>
      </w:r>
    </w:p>
    <w:p>
      <w:pPr>
        <w:pStyle w:val="ListBullet"/>
      </w:pPr>
      <w:r>
        <w:t>Use unique constraints scoped by tenant where appropriate.</w:t>
      </w:r>
    </w:p>
    <w:p>
      <w:pPr>
        <w:pStyle w:val="ListBullet"/>
      </w:pPr>
      <w:r>
        <w:t>Index tenant_id + common filter fields.</w:t>
      </w:r>
    </w:p>
    <w:p>
      <w:pPr>
        <w:pStyle w:val="ListBullet"/>
      </w:pPr>
      <w:r>
        <w:t>Use JSONB only for genuinely variable configuration, not core relational fields.</w:t>
      </w:r>
    </w:p>
    <w:p>
      <w:pPr>
        <w:pStyle w:val="ListBullet"/>
      </w:pPr>
      <w:r>
        <w:t>Use optimistic concurrency/version fields on records susceptible to concurrent edits.</w:t>
      </w:r>
    </w:p>
    <w:p>
      <w:pPr>
        <w:pStyle w:val="ListBullet"/>
      </w:pPr>
      <w:r>
        <w:t>Store files outside PostgreSQL; keep metadata and secure object keys in the database.</w:t>
      </w:r>
    </w:p>
    <w:p>
      <w:pPr>
        <w:pStyle w:val="Heading2"/>
      </w:pPr>
      <w:r>
        <w:t>8.1 Suggested indexes</w:t>
      </w:r>
    </w:p>
    <w:p>
      <w:pPr>
        <w:pStyle w:val="ListBullet"/>
      </w:pPr>
      <w:r>
        <w:t>compliance_instance(tenant_id, organization_id, status, deadline)</w:t>
      </w:r>
    </w:p>
    <w:p>
      <w:pPr>
        <w:pStyle w:val="ListBullet"/>
      </w:pPr>
      <w:r>
        <w:t>compliance_instance(tenant_id, owner_id, status)</w:t>
      </w:r>
    </w:p>
    <w:p>
      <w:pPr>
        <w:pStyle w:val="ListBullet"/>
      </w:pPr>
      <w:r>
        <w:t>task(tenant_id, assignee_id, status, due_at)</w:t>
      </w:r>
    </w:p>
    <w:p>
      <w:pPr>
        <w:pStyle w:val="ListBullet"/>
      </w:pPr>
      <w:r>
        <w:t>document(tenant_id, organization_id, expiry_at)</w:t>
      </w:r>
    </w:p>
    <w:p>
      <w:pPr>
        <w:pStyle w:val="ListBullet"/>
      </w:pPr>
      <w:r>
        <w:t>audit_event(tenant_id, timestamp)</w:t>
      </w:r>
    </w:p>
    <w:p>
      <w:pPr>
        <w:pStyle w:val="ListBullet"/>
      </w:pPr>
      <w:r>
        <w:t>notification(tenant_id, recipient_id, status, created_at)</w:t>
      </w:r>
    </w:p>
    <w:p>
      <w:pPr>
        <w:pStyle w:val="Heading1"/>
      </w:pPr>
      <w:r>
        <w:t>9. Compliance Rule Engine</w:t>
      </w:r>
    </w:p>
    <w:p>
      <w:r>
        <w:t>The rule engine must be configuration-driven because regulatory applicability and deadlines can change.</w:t>
      </w:r>
    </w:p>
    <w:p>
      <w:pPr>
        <w:pStyle w:val="Heading2"/>
      </w:pPr>
      <w:r>
        <w:t>9.1 Rule structure</w:t>
      </w:r>
    </w:p>
    <w:p>
      <w:r>
        <w:t>A compliance definition contains identity, category, legal reference metadata, applicability conditions, deadline strategy, recurrence strategy, checklist template and workflow template.</w:t>
      </w:r>
    </w:p>
    <w:p>
      <w:pPr>
        <w:pStyle w:val="Heading2"/>
      </w:pPr>
      <w:r>
        <w:t>9.2 Applicability example</w:t>
      </w:r>
    </w:p>
    <w:p>
      <w:r>
        <w:t>IF organization.legal_type = 'SECTION_8' AND organization.tax_registration.12ab = true THEN create applicable annual tax compliance. IF organization.fcra_status = 'ACTIVE' THEN create FCRA compliance family. Rules must be reviewed and versioned before activation.</w:t>
      </w:r>
    </w:p>
    <w:p>
      <w:pPr>
        <w:pStyle w:val="Heading2"/>
      </w:pPr>
      <w:r>
        <w:t>9.3 Versioning</w:t>
      </w:r>
    </w:p>
    <w:p>
      <w:pPr>
        <w:pStyle w:val="ListBullet"/>
      </w:pPr>
      <w:r>
        <w:t>Rules have version numbers and effective_from/effective_to dates.</w:t>
      </w:r>
    </w:p>
    <w:p>
      <w:pPr>
        <w:pStyle w:val="ListBullet"/>
      </w:pPr>
      <w:r>
        <w:t>New rule versions apply to future instances according to configuration.</w:t>
      </w:r>
    </w:p>
    <w:p>
      <w:pPr>
        <w:pStyle w:val="ListBullet"/>
      </w:pPr>
      <w:r>
        <w:t>Completed historical instances retain the rule version used when created.</w:t>
      </w:r>
    </w:p>
    <w:p>
      <w:pPr>
        <w:pStyle w:val="ListBullet"/>
      </w:pPr>
      <w:r>
        <w:t>Changes require authorized approval and audit logging.</w:t>
      </w:r>
    </w:p>
    <w:p>
      <w:pPr>
        <w:pStyle w:val="Heading1"/>
      </w:pPr>
      <w:r>
        <w:t>10. Compliance Lifecycle State Machine</w:t>
      </w:r>
    </w:p>
    <w:p>
      <w:r>
        <w:t>Recommended baseline states:</w:t>
      </w:r>
    </w:p>
    <w:p>
      <w:r>
        <w:t>DRAFT → PLANNED → NOT_STARTED → IN_PROGRESS → UNDER_REVIEW → CHANGES_REQUESTED → READY_TO_FILE → FILED → COMPLETED</w:t>
      </w:r>
    </w:p>
    <w:p>
      <w:r>
        <w:t>Alternative paths: NOT_APPLICABLE, ON_HOLD, OVERDUE, CANCELLED. OVERDUE should normally be a risk/status condition that can coexist with work state rather than a destructive replacement.</w:t>
      </w:r>
    </w:p>
    <w:p>
      <w:pPr>
        <w:pStyle w:val="Heading2"/>
      </w:pPr>
      <w:r>
        <w:t>10.1 Transition controls</w:t>
      </w:r>
    </w:p>
    <w:p>
      <w:pPr>
        <w:pStyle w:val="ListBullet"/>
      </w:pPr>
      <w:r>
        <w:t>Only permitted roles can approve.</w:t>
      </w:r>
    </w:p>
    <w:p>
      <w:pPr>
        <w:pStyle w:val="ListBullet"/>
      </w:pPr>
      <w:r>
        <w:t>READY_TO_FILE requires mandatory checklist/evidence according to definition.</w:t>
      </w:r>
    </w:p>
    <w:p>
      <w:pPr>
        <w:pStyle w:val="ListBullet"/>
      </w:pPr>
      <w:r>
        <w:t>FILED requires submission date and proof/reference where applicable.</w:t>
      </w:r>
    </w:p>
    <w:p>
      <w:pPr>
        <w:pStyle w:val="ListBullet"/>
      </w:pPr>
      <w:r>
        <w:t>COMPLETED requires proof or an approved exception.</w:t>
      </w:r>
    </w:p>
    <w:p>
      <w:pPr>
        <w:pStyle w:val="ListBullet"/>
      </w:pPr>
      <w:r>
        <w:t>Reopen requires reason.</w:t>
      </w:r>
    </w:p>
    <w:p>
      <w:pPr>
        <w:pStyle w:val="ListBullet"/>
      </w:pPr>
      <w:r>
        <w:t>NOT_APPLICABLE requires reason and optional approval.</w:t>
      </w:r>
    </w:p>
    <w:p>
      <w:pPr>
        <w:pStyle w:val="Heading1"/>
      </w:pPr>
      <w:r>
        <w:t>11. Scheduling &amp; Job Architecture</w:t>
      </w:r>
    </w:p>
    <w:p>
      <w:r>
        <w:t>Scheduled work must be asynchronous. The API should not execute bulk reminders, recurring generation or OCR inside the request thread.</w:t>
      </w:r>
    </w:p>
    <w:p>
      <w:pPr>
        <w:pStyle w:val="Heading2"/>
      </w:pPr>
      <w:r>
        <w:t>11.1 Jobs</w:t>
      </w:r>
    </w:p>
    <w:p>
      <w:pPr>
        <w:pStyle w:val="ListBullet"/>
      </w:pPr>
      <w:r>
        <w:t>compliance_deadline_scan</w:t>
      </w:r>
    </w:p>
    <w:p>
      <w:pPr>
        <w:pStyle w:val="ListBullet"/>
      </w:pPr>
      <w:r>
        <w:t>recurring_compliance_generation</w:t>
      </w:r>
    </w:p>
    <w:p>
      <w:pPr>
        <w:pStyle w:val="ListBullet"/>
      </w:pPr>
      <w:r>
        <w:t>document_expiry_scan</w:t>
      </w:r>
    </w:p>
    <w:p>
      <w:pPr>
        <w:pStyle w:val="ListBullet"/>
      </w:pPr>
      <w:r>
        <w:t>task_overdue_scan</w:t>
      </w:r>
    </w:p>
    <w:p>
      <w:pPr>
        <w:pStyle w:val="ListBullet"/>
      </w:pPr>
      <w:r>
        <w:t>notification_dispatch</w:t>
      </w:r>
    </w:p>
    <w:p>
      <w:pPr>
        <w:pStyle w:val="ListBullet"/>
      </w:pPr>
      <w:r>
        <w:t>notification_retry</w:t>
      </w:r>
    </w:p>
    <w:p>
      <w:pPr>
        <w:pStyle w:val="ListBullet"/>
      </w:pPr>
      <w:r>
        <w:t>report_generation</w:t>
      </w:r>
    </w:p>
    <w:p>
      <w:pPr>
        <w:pStyle w:val="ListBullet"/>
      </w:pPr>
      <w:r>
        <w:t>bulk_import</w:t>
      </w:r>
    </w:p>
    <w:p>
      <w:pPr>
        <w:pStyle w:val="ListBullet"/>
      </w:pPr>
      <w:r>
        <w:t>document_processing</w:t>
      </w:r>
    </w:p>
    <w:p>
      <w:pPr>
        <w:pStyle w:val="ListBullet"/>
      </w:pPr>
      <w:r>
        <w:t>AI_processing</w:t>
      </w:r>
    </w:p>
    <w:p>
      <w:pPr>
        <w:pStyle w:val="Heading2"/>
      </w:pPr>
      <w:r>
        <w:t>11.2 Idempotency</w:t>
      </w:r>
    </w:p>
    <w:p>
      <w:r>
        <w:t>Each scheduled business action must have a deterministic event key, e.g. tenant + compliance_instance + reminder_type + scheduled_date. The system must not send the same reminder twice after retries.</w:t>
      </w:r>
    </w:p>
    <w:p>
      <w:pPr>
        <w:pStyle w:val="Heading1"/>
      </w:pPr>
      <w:r>
        <w:t>12. Notification Architecture</w:t>
      </w:r>
    </w:p>
    <w:p>
      <w:r>
        <w:t>Domain event → notification policy → notification record → queue → provider adapter → delivery callback/status → audit/log.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Event</w:t>
            </w:r>
          </w:p>
        </w:tc>
        <w:tc>
          <w:tcPr>
            <w:tcW w:type="dxa" w:w="3360"/>
            <w:vAlign w:val="center"/>
          </w:tcPr>
          <w:p>
            <w:r>
              <w:rPr>
                <w:b/>
              </w:rPr>
              <w:t>Policy</w:t>
            </w:r>
          </w:p>
        </w:tc>
        <w:tc>
          <w:tcPr>
            <w:tcW w:type="dxa" w:w="3360"/>
            <w:vAlign w:val="center"/>
          </w:tcPr>
          <w:p>
            <w:r>
              <w:rPr>
                <w:b/>
              </w:rPr>
              <w:t>Channels</w:t>
            </w:r>
          </w:p>
        </w:tc>
      </w:tr>
      <w:tr>
        <w:tc>
          <w:tcPr>
            <w:tcW w:type="dxa" w:w="3360"/>
            <w:vAlign w:val="top"/>
          </w:tcPr>
          <w:p>
            <w:r>
              <w:t>Due soon</w:t>
            </w:r>
          </w:p>
        </w:tc>
        <w:tc>
          <w:tcPr>
            <w:tcW w:type="dxa" w:w="3360"/>
            <w:vAlign w:val="top"/>
          </w:tcPr>
          <w:p>
            <w:r>
              <w:t>Configured intervals</w:t>
            </w:r>
          </w:p>
        </w:tc>
        <w:tc>
          <w:tcPr>
            <w:tcW w:type="dxa" w:w="3360"/>
            <w:vAlign w:val="top"/>
          </w:tcPr>
          <w:p>
            <w:r>
              <w:t>In-app, Email, WhatsApp optional</w:t>
            </w:r>
          </w:p>
        </w:tc>
      </w:tr>
      <w:tr>
        <w:tc>
          <w:tcPr>
            <w:tcW w:type="dxa" w:w="3360"/>
            <w:vAlign w:val="top"/>
          </w:tcPr>
          <w:p>
            <w:r>
              <w:t>Overdue</w:t>
            </w:r>
          </w:p>
        </w:tc>
        <w:tc>
          <w:tcPr>
            <w:tcW w:type="dxa" w:w="3360"/>
            <w:vAlign w:val="top"/>
          </w:tcPr>
          <w:p>
            <w:r>
              <w:t>Immediate + escalation</w:t>
            </w:r>
          </w:p>
        </w:tc>
        <w:tc>
          <w:tcPr>
            <w:tcW w:type="dxa" w:w="3360"/>
            <w:vAlign w:val="top"/>
          </w:tcPr>
          <w:p>
            <w:r>
              <w:t>In-app, Email, WhatsApp optional</w:t>
            </w:r>
          </w:p>
        </w:tc>
      </w:tr>
      <w:tr>
        <w:tc>
          <w:tcPr>
            <w:tcW w:type="dxa" w:w="3360"/>
            <w:vAlign w:val="top"/>
          </w:tcPr>
          <w:p>
            <w:r>
              <w:t>Task assigned</w:t>
            </w:r>
          </w:p>
        </w:tc>
        <w:tc>
          <w:tcPr>
            <w:tcW w:type="dxa" w:w="3360"/>
            <w:vAlign w:val="top"/>
          </w:tcPr>
          <w:p>
            <w:r>
              <w:t>On assignment</w:t>
            </w:r>
          </w:p>
        </w:tc>
        <w:tc>
          <w:tcPr>
            <w:tcW w:type="dxa" w:w="3360"/>
            <w:vAlign w:val="top"/>
          </w:tcPr>
          <w:p>
            <w:r>
              <w:t>In-app, Email</w:t>
            </w:r>
          </w:p>
        </w:tc>
      </w:tr>
      <w:tr>
        <w:tc>
          <w:tcPr>
            <w:tcW w:type="dxa" w:w="3360"/>
            <w:vAlign w:val="top"/>
          </w:tcPr>
          <w:p>
            <w:r>
              <w:t>Approval requested</w:t>
            </w:r>
          </w:p>
        </w:tc>
        <w:tc>
          <w:tcPr>
            <w:tcW w:type="dxa" w:w="3360"/>
            <w:vAlign w:val="top"/>
          </w:tcPr>
          <w:p>
            <w:r>
              <w:t>On request</w:t>
            </w:r>
          </w:p>
        </w:tc>
        <w:tc>
          <w:tcPr>
            <w:tcW w:type="dxa" w:w="3360"/>
            <w:vAlign w:val="top"/>
          </w:tcPr>
          <w:p>
            <w:r>
              <w:t>In-app, Email</w:t>
            </w:r>
          </w:p>
        </w:tc>
      </w:tr>
      <w:tr>
        <w:tc>
          <w:tcPr>
            <w:tcW w:type="dxa" w:w="3360"/>
            <w:vAlign w:val="top"/>
          </w:tcPr>
          <w:p>
            <w:r>
              <w:t>Document expiry</w:t>
            </w:r>
          </w:p>
        </w:tc>
        <w:tc>
          <w:tcPr>
            <w:tcW w:type="dxa" w:w="3360"/>
            <w:vAlign w:val="top"/>
          </w:tcPr>
          <w:p>
            <w:r>
              <w:t>Configured intervals</w:t>
            </w:r>
          </w:p>
        </w:tc>
        <w:tc>
          <w:tcPr>
            <w:tcW w:type="dxa" w:w="3360"/>
            <w:vAlign w:val="top"/>
          </w:tcPr>
          <w:p>
            <w:r>
              <w:t>In-app, Email</w:t>
            </w:r>
          </w:p>
        </w:tc>
      </w:tr>
      <w:tr>
        <w:tc>
          <w:tcPr>
            <w:tcW w:type="dxa" w:w="3360"/>
            <w:vAlign w:val="top"/>
          </w:tcPr>
          <w:p>
            <w:r>
              <w:t>Invitation</w:t>
            </w:r>
          </w:p>
        </w:tc>
        <w:tc>
          <w:tcPr>
            <w:tcW w:type="dxa" w:w="3360"/>
            <w:vAlign w:val="top"/>
          </w:tcPr>
          <w:p>
            <w:r>
              <w:t>Immediately</w:t>
            </w:r>
          </w:p>
        </w:tc>
        <w:tc>
          <w:tcPr>
            <w:tcW w:type="dxa" w:w="3360"/>
            <w:vAlign w:val="top"/>
          </w:tcPr>
          <w:p>
            <w:r>
              <w:t>Email</w:t>
            </w:r>
          </w:p>
        </w:tc>
      </w:tr>
    </w:tbl>
    <w:p>
      <w:r>
        <w:t>Provider adapters should expose a common interface so email/WhatsApp vendors can be changed without changing domain logic.</w:t>
      </w:r>
    </w:p>
    <w:p>
      <w:pPr>
        <w:pStyle w:val="Heading1"/>
      </w:pPr>
      <w:r>
        <w:t>13. Document Storage Architecture</w:t>
      </w:r>
    </w:p>
    <w:p>
      <w:r>
        <w:t>Use object storage for binaries and PostgreSQL for metadata. Store a cryptographic checksum for each version.</w:t>
      </w:r>
    </w:p>
    <w:p>
      <w:pPr>
        <w:pStyle w:val="Heading2"/>
      </w:pPr>
      <w:r>
        <w:t>13.1 Upload flow</w:t>
      </w:r>
    </w:p>
    <w:p>
      <w:pPr>
        <w:pStyle w:val="ListNumber"/>
      </w:pPr>
      <w:r>
        <w:t>Request upload permission.</w:t>
      </w:r>
    </w:p>
    <w:p>
      <w:pPr>
        <w:pStyle w:val="ListNumber"/>
      </w:pPr>
      <w:r>
        <w:t>API validates tenant/user/document metadata.</w:t>
      </w:r>
    </w:p>
    <w:p>
      <w:pPr>
        <w:pStyle w:val="ListNumber"/>
      </w:pPr>
      <w:r>
        <w:t>Generate pre-signed upload URL.</w:t>
      </w:r>
    </w:p>
    <w:p>
      <w:pPr>
        <w:pStyle w:val="ListNumber"/>
      </w:pPr>
      <w:r>
        <w:t>Client uploads directly to object storage.</w:t>
      </w:r>
    </w:p>
    <w:p>
      <w:pPr>
        <w:pStyle w:val="ListNumber"/>
      </w:pPr>
      <w:r>
        <w:t>Client confirms upload.</w:t>
      </w:r>
    </w:p>
    <w:p>
      <w:pPr>
        <w:pStyle w:val="ListNumber"/>
      </w:pPr>
      <w:r>
        <w:t>Backend verifies object existence and metadata/checksum where practical.</w:t>
      </w:r>
    </w:p>
    <w:p>
      <w:pPr>
        <w:pStyle w:val="ListNumber"/>
      </w:pPr>
      <w:r>
        <w:t>Create DocumentVersion record.</w:t>
      </w:r>
    </w:p>
    <w:p>
      <w:pPr>
        <w:pStyle w:val="ListNumber"/>
      </w:pPr>
      <w:r>
        <w:t>Optional malware scan/OCR pipeline runs asynchronously.</w:t>
      </w:r>
    </w:p>
    <w:p>
      <w:pPr>
        <w:pStyle w:val="ListNumber"/>
      </w:pPr>
      <w:r>
        <w:t>Document becomes available according to processing status.</w:t>
      </w:r>
    </w:p>
    <w:p>
      <w:pPr>
        <w:pStyle w:val="Heading2"/>
      </w:pPr>
      <w:r>
        <w:t>13.2 Security</w:t>
      </w:r>
    </w:p>
    <w:p>
      <w:pPr>
        <w:pStyle w:val="ListBullet"/>
      </w:pPr>
      <w:r>
        <w:t>Private buckets only.</w:t>
      </w:r>
    </w:p>
    <w:p>
      <w:pPr>
        <w:pStyle w:val="ListBullet"/>
      </w:pPr>
      <w:r>
        <w:t>Short-lived signed download URLs.</w:t>
      </w:r>
    </w:p>
    <w:p>
      <w:pPr>
        <w:pStyle w:val="ListBullet"/>
      </w:pPr>
      <w:r>
        <w:t>Content-type and extension validation.</w:t>
      </w:r>
    </w:p>
    <w:p>
      <w:pPr>
        <w:pStyle w:val="ListBullet"/>
      </w:pPr>
      <w:r>
        <w:t>File-size limits.</w:t>
      </w:r>
    </w:p>
    <w:p>
      <w:pPr>
        <w:pStyle w:val="ListBullet"/>
      </w:pPr>
      <w:r>
        <w:t>Malware scanning before broad access where required.</w:t>
      </w:r>
    </w:p>
    <w:p>
      <w:pPr>
        <w:pStyle w:val="ListBullet"/>
      </w:pPr>
      <w:r>
        <w:t>Object key must not be user-controlled as a path.</w:t>
      </w:r>
    </w:p>
    <w:p>
      <w:pPr>
        <w:pStyle w:val="ListBullet"/>
      </w:pPr>
      <w:r>
        <w:t>Retention/deletion policy must be explicit.</w:t>
      </w:r>
    </w:p>
    <w:p>
      <w:pPr>
        <w:pStyle w:val="Heading1"/>
      </w:pPr>
      <w:r>
        <w:t>14. API Architecture</w:t>
      </w:r>
    </w:p>
    <w:p>
      <w:r>
        <w:t>Use REST/JSON for the core web API initially. Version the API, e.g. /api/v1.</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Representative endpoints</w:t>
            </w:r>
          </w:p>
        </w:tc>
      </w:tr>
      <w:tr>
        <w:tc>
          <w:tcPr>
            <w:tcW w:type="dxa" w:w="5040"/>
            <w:vAlign w:val="top"/>
          </w:tcPr>
          <w:p>
            <w:r>
              <w:t>Auth</w:t>
            </w:r>
          </w:p>
        </w:tc>
        <w:tc>
          <w:tcPr>
            <w:tcW w:type="dxa" w:w="5040"/>
            <w:vAlign w:val="top"/>
          </w:tcPr>
          <w:p>
            <w:r>
              <w:t>POST /auth/login or OIDC callback; POST /auth/logout</w:t>
            </w:r>
          </w:p>
        </w:tc>
      </w:tr>
      <w:tr>
        <w:tc>
          <w:tcPr>
            <w:tcW w:type="dxa" w:w="5040"/>
            <w:vAlign w:val="top"/>
          </w:tcPr>
          <w:p>
            <w:r>
              <w:t>Organizations</w:t>
            </w:r>
          </w:p>
        </w:tc>
        <w:tc>
          <w:tcPr>
            <w:tcW w:type="dxa" w:w="5040"/>
            <w:vAlign w:val="top"/>
          </w:tcPr>
          <w:p>
            <w:r>
              <w:t>GET/POST /organizations; GET/PATCH /organizations/{id}</w:t>
            </w:r>
          </w:p>
        </w:tc>
      </w:tr>
      <w:tr>
        <w:tc>
          <w:tcPr>
            <w:tcW w:type="dxa" w:w="5040"/>
            <w:vAlign w:val="top"/>
          </w:tcPr>
          <w:p>
            <w:r>
              <w:t>Compliance</w:t>
            </w:r>
          </w:p>
        </w:tc>
        <w:tc>
          <w:tcPr>
            <w:tcW w:type="dxa" w:w="5040"/>
            <w:vAlign w:val="top"/>
          </w:tcPr>
          <w:p>
            <w:r>
              <w:t>GET/POST /compliances; GET/PATCH /compliances/{id}</w:t>
            </w:r>
          </w:p>
        </w:tc>
      </w:tr>
      <w:tr>
        <w:tc>
          <w:tcPr>
            <w:tcW w:type="dxa" w:w="5040"/>
            <w:vAlign w:val="top"/>
          </w:tcPr>
          <w:p>
            <w:r>
              <w:t>Tasks</w:t>
            </w:r>
          </w:p>
        </w:tc>
        <w:tc>
          <w:tcPr>
            <w:tcW w:type="dxa" w:w="5040"/>
            <w:vAlign w:val="top"/>
          </w:tcPr>
          <w:p>
            <w:r>
              <w:t>GET/POST /tasks; PATCH /tasks/{id}</w:t>
            </w:r>
          </w:p>
        </w:tc>
      </w:tr>
      <w:tr>
        <w:tc>
          <w:tcPr>
            <w:tcW w:type="dxa" w:w="5040"/>
            <w:vAlign w:val="top"/>
          </w:tcPr>
          <w:p>
            <w:r>
              <w:t>Documents</w:t>
            </w:r>
          </w:p>
        </w:tc>
        <w:tc>
          <w:tcPr>
            <w:tcW w:type="dxa" w:w="5040"/>
            <w:vAlign w:val="top"/>
          </w:tcPr>
          <w:p>
            <w:r>
              <w:t>POST /documents/upload-url; POST /documents/{id}/complete</w:t>
            </w:r>
          </w:p>
        </w:tc>
      </w:tr>
      <w:tr>
        <w:tc>
          <w:tcPr>
            <w:tcW w:type="dxa" w:w="5040"/>
            <w:vAlign w:val="top"/>
          </w:tcPr>
          <w:p>
            <w:r>
              <w:t>Calendar</w:t>
            </w:r>
          </w:p>
        </w:tc>
        <w:tc>
          <w:tcPr>
            <w:tcW w:type="dxa" w:w="5040"/>
            <w:vAlign w:val="top"/>
          </w:tcPr>
          <w:p>
            <w:r>
              <w:t>GET /calendar/events</w:t>
            </w:r>
          </w:p>
        </w:tc>
      </w:tr>
      <w:tr>
        <w:tc>
          <w:tcPr>
            <w:tcW w:type="dxa" w:w="5040"/>
            <w:vAlign w:val="top"/>
          </w:tcPr>
          <w:p>
            <w:r>
              <w:t>Reports</w:t>
            </w:r>
          </w:p>
        </w:tc>
        <w:tc>
          <w:tcPr>
            <w:tcW w:type="dxa" w:w="5040"/>
            <w:vAlign w:val="top"/>
          </w:tcPr>
          <w:p>
            <w:r>
              <w:t>GET /reports/compliance-health; POST /reports/export</w:t>
            </w:r>
          </w:p>
        </w:tc>
      </w:tr>
      <w:tr>
        <w:tc>
          <w:tcPr>
            <w:tcW w:type="dxa" w:w="5040"/>
            <w:vAlign w:val="top"/>
          </w:tcPr>
          <w:p>
            <w:r>
              <w:t>Users</w:t>
            </w:r>
          </w:p>
        </w:tc>
        <w:tc>
          <w:tcPr>
            <w:tcW w:type="dxa" w:w="5040"/>
            <w:vAlign w:val="top"/>
          </w:tcPr>
          <w:p>
            <w:r>
              <w:t>GET/POST /users/invitations; PATCH /memberships/{id}</w:t>
            </w:r>
          </w:p>
        </w:tc>
      </w:tr>
      <w:tr>
        <w:tc>
          <w:tcPr>
            <w:tcW w:type="dxa" w:w="5040"/>
            <w:vAlign w:val="top"/>
          </w:tcPr>
          <w:p>
            <w:r>
              <w:t>Notifications</w:t>
            </w:r>
          </w:p>
        </w:tc>
        <w:tc>
          <w:tcPr>
            <w:tcW w:type="dxa" w:w="5040"/>
            <w:vAlign w:val="top"/>
          </w:tcPr>
          <w:p>
            <w:r>
              <w:t>GET /notifications; PATCH /notifications/{id}/read</w:t>
            </w:r>
          </w:p>
        </w:tc>
      </w:tr>
      <w:tr>
        <w:tc>
          <w:tcPr>
            <w:tcW w:type="dxa" w:w="5040"/>
            <w:vAlign w:val="top"/>
          </w:tcPr>
          <w:p>
            <w:r>
              <w:t>Audit</w:t>
            </w:r>
          </w:p>
        </w:tc>
        <w:tc>
          <w:tcPr>
            <w:tcW w:type="dxa" w:w="5040"/>
            <w:vAlign w:val="top"/>
          </w:tcPr>
          <w:p>
            <w:r>
              <w:t>GET /audit-events</w:t>
            </w:r>
          </w:p>
        </w:tc>
      </w:tr>
      <w:tr>
        <w:tc>
          <w:tcPr>
            <w:tcW w:type="dxa" w:w="5040"/>
            <w:vAlign w:val="top"/>
          </w:tcPr>
          <w:p>
            <w:r>
              <w:t>Subscriptions</w:t>
            </w:r>
          </w:p>
        </w:tc>
        <w:tc>
          <w:tcPr>
            <w:tcW w:type="dxa" w:w="5040"/>
            <w:vAlign w:val="top"/>
          </w:tcPr>
          <w:p>
            <w:r>
              <w:t>GET /subscription; POST /subscription/change</w:t>
            </w:r>
          </w:p>
        </w:tc>
      </w:tr>
    </w:tbl>
    <w:p>
      <w:r>
        <w:t>All protected endpoints require authenticated tenant context and server-side authorization. Use consistent error envelopes with code, message, request_id and optional field errors.</w:t>
      </w:r>
    </w:p>
    <w:p>
      <w:pPr>
        <w:pStyle w:val="Heading1"/>
      </w:pPr>
      <w:r>
        <w:t>15. API Security &amp; Reliability</w:t>
      </w:r>
    </w:p>
    <w:p>
      <w:pPr>
        <w:pStyle w:val="ListBullet"/>
      </w:pPr>
      <w:r>
        <w:t>Validate request schemas at the API boundary.</w:t>
      </w:r>
    </w:p>
    <w:p>
      <w:pPr>
        <w:pStyle w:val="ListBullet"/>
      </w:pPr>
      <w:r>
        <w:t>Rate-limit authentication, upload initiation and expensive reports.</w:t>
      </w:r>
    </w:p>
    <w:p>
      <w:pPr>
        <w:pStyle w:val="ListBullet"/>
      </w:pPr>
      <w:r>
        <w:t>Use request IDs and trace IDs.</w:t>
      </w:r>
    </w:p>
    <w:p>
      <w:pPr>
        <w:pStyle w:val="ListBullet"/>
      </w:pPr>
      <w:r>
        <w:t>Use idempotency keys for operations such as payment, invitation resend and external submission callbacks.</w:t>
      </w:r>
    </w:p>
    <w:p>
      <w:pPr>
        <w:pStyle w:val="ListBullet"/>
      </w:pPr>
      <w:r>
        <w:t>Never trust organization_id supplied by the client without checking membership.</w:t>
      </w:r>
    </w:p>
    <w:p>
      <w:pPr>
        <w:pStyle w:val="ListBullet"/>
      </w:pPr>
      <w:r>
        <w:t>Use pagination for list APIs.</w:t>
      </w:r>
    </w:p>
    <w:p>
      <w:pPr>
        <w:pStyle w:val="ListBullet"/>
      </w:pPr>
      <w:r>
        <w:t>Restrict sorting/filter fields to allowlisted columns.</w:t>
      </w:r>
    </w:p>
    <w:p>
      <w:pPr>
        <w:pStyle w:val="ListBullet"/>
      </w:pPr>
      <w:r>
        <w:t>Use cursor pagination for very large datasets later.</w:t>
      </w:r>
    </w:p>
    <w:p>
      <w:pPr>
        <w:pStyle w:val="Heading1"/>
      </w:pPr>
      <w:r>
        <w:t>16. Reporting Architecture</w:t>
      </w:r>
    </w:p>
    <w:p>
      <w:r>
        <w:t>Operational reports should query read-optimized views/materialized views when necessary. Start with PostgreSQL queries; introduce a separate analytics warehouse only when scale justifies it.</w:t>
      </w:r>
    </w:p>
    <w:p>
      <w:pPr>
        <w:pStyle w:val="ListBullet"/>
      </w:pPr>
      <w:r>
        <w:t>Compliance health</w:t>
      </w:r>
    </w:p>
    <w:p>
      <w:pPr>
        <w:pStyle w:val="ListBullet"/>
      </w:pPr>
      <w:r>
        <w:t>Overdue</w:t>
      </w:r>
    </w:p>
    <w:p>
      <w:pPr>
        <w:pStyle w:val="ListBullet"/>
      </w:pPr>
      <w:r>
        <w:t>Upcoming 30/60/90 days</w:t>
      </w:r>
    </w:p>
    <w:p>
      <w:pPr>
        <w:pStyle w:val="ListBullet"/>
      </w:pPr>
      <w:r>
        <w:t>By owner</w:t>
      </w:r>
    </w:p>
    <w:p>
      <w:pPr>
        <w:pStyle w:val="ListBullet"/>
      </w:pPr>
      <w:r>
        <w:t>By organization</w:t>
      </w:r>
    </w:p>
    <w:p>
      <w:pPr>
        <w:pStyle w:val="ListBullet"/>
      </w:pPr>
      <w:r>
        <w:t>Document expiry</w:t>
      </w:r>
    </w:p>
    <w:p>
      <w:pPr>
        <w:pStyle w:val="ListBullet"/>
      </w:pPr>
      <w:r>
        <w:t>Audit activity</w:t>
      </w:r>
    </w:p>
    <w:p>
      <w:pPr>
        <w:pStyle w:val="ListBullet"/>
      </w:pPr>
      <w:r>
        <w:t>Consultant portfolio</w:t>
      </w:r>
    </w:p>
    <w:p>
      <w:r>
        <w:t>Exports over large datasets should run as background jobs and return a downloadable artifact with an expiry time.</w:t>
      </w:r>
    </w:p>
    <w:p>
      <w:pPr>
        <w:pStyle w:val="Heading1"/>
      </w:pPr>
      <w:r>
        <w:t>17. Audit Architecture</w:t>
      </w:r>
    </w:p>
    <w:p>
      <w:r>
        <w:t>Audit events are append-oriented records. They should capture actor, tenant, action, entity type/id, timestamp, request_id, source, and structured before/after metadata where appropriate.</w:t>
      </w:r>
    </w:p>
    <w:p>
      <w:pPr>
        <w:pStyle w:val="ListBullet"/>
      </w:pPr>
      <w:r>
        <w:t>Log login/security events.</w:t>
      </w:r>
    </w:p>
    <w:p>
      <w:pPr>
        <w:pStyle w:val="ListBullet"/>
      </w:pPr>
      <w:r>
        <w:t>Log create/update/delete/archive actions on compliance, documents, users and organization data.</w:t>
      </w:r>
    </w:p>
    <w:p>
      <w:pPr>
        <w:pStyle w:val="ListBullet"/>
      </w:pPr>
      <w:r>
        <w:t>Log approval and state transitions.</w:t>
      </w:r>
    </w:p>
    <w:p>
      <w:pPr>
        <w:pStyle w:val="ListBullet"/>
      </w:pPr>
      <w:r>
        <w:t>Log document download/share events where policy requires.</w:t>
      </w:r>
    </w:p>
    <w:p>
      <w:pPr>
        <w:pStyle w:val="ListBullet"/>
      </w:pPr>
      <w:r>
        <w:t>Log rule changes and subscription changes.</w:t>
      </w:r>
    </w:p>
    <w:p>
      <w:pPr>
        <w:pStyle w:val="ListBullet"/>
      </w:pPr>
      <w:r>
        <w:t>Do not store secrets or sensitive raw tokens in audit metadata.</w:t>
      </w:r>
    </w:p>
    <w:p>
      <w:pPr>
        <w:pStyle w:val="Heading1"/>
      </w:pPr>
      <w:r>
        <w:t>18. Frontend Architecture</w:t>
      </w:r>
    </w:p>
    <w:p>
      <w:r>
        <w:t>Recommended frontend structure: Next.js App Router + TypeScript. Use server rendering for stable shell/metadata where useful, and client components for interactive tables/forms.</w:t>
      </w:r>
    </w:p>
    <w:p>
      <w:pPr>
        <w:pStyle w:val="Heading2"/>
      </w:pPr>
      <w:r>
        <w:t>18.1 Frontend modules</w:t>
      </w:r>
    </w:p>
    <w:p>
      <w:pPr>
        <w:pStyle w:val="ListBullet"/>
      </w:pPr>
      <w:r>
        <w:t>Auth/session</w:t>
      </w:r>
    </w:p>
    <w:p>
      <w:pPr>
        <w:pStyle w:val="ListBullet"/>
      </w:pPr>
      <w:r>
        <w:t>Tenant/organization switcher</w:t>
      </w:r>
    </w:p>
    <w:p>
      <w:pPr>
        <w:pStyle w:val="ListBullet"/>
      </w:pPr>
      <w:r>
        <w:t>Dashboard</w:t>
      </w:r>
    </w:p>
    <w:p>
      <w:pPr>
        <w:pStyle w:val="ListBullet"/>
      </w:pPr>
      <w:r>
        <w:t>Compliance list/detail</w:t>
      </w:r>
    </w:p>
    <w:p>
      <w:pPr>
        <w:pStyle w:val="ListBullet"/>
      </w:pPr>
      <w:r>
        <w:t>Calendar</w:t>
      </w:r>
    </w:p>
    <w:p>
      <w:pPr>
        <w:pStyle w:val="ListBullet"/>
      </w:pPr>
      <w:r>
        <w:t>Tasks</w:t>
      </w:r>
    </w:p>
    <w:p>
      <w:pPr>
        <w:pStyle w:val="ListBullet"/>
      </w:pPr>
      <w:r>
        <w:t>Documents</w:t>
      </w:r>
    </w:p>
    <w:p>
      <w:pPr>
        <w:pStyle w:val="ListBullet"/>
      </w:pPr>
      <w:r>
        <w:t>Reports</w:t>
      </w:r>
    </w:p>
    <w:p>
      <w:pPr>
        <w:pStyle w:val="ListBullet"/>
      </w:pPr>
      <w:r>
        <w:t>Notifications</w:t>
      </w:r>
    </w:p>
    <w:p>
      <w:pPr>
        <w:pStyle w:val="ListBullet"/>
      </w:pPr>
      <w:r>
        <w:t>Users/roles</w:t>
      </w:r>
    </w:p>
    <w:p>
      <w:pPr>
        <w:pStyle w:val="ListBullet"/>
      </w:pPr>
      <w:r>
        <w:t>Settings</w:t>
      </w:r>
    </w:p>
    <w:p>
      <w:pPr>
        <w:pStyle w:val="ListBullet"/>
      </w:pPr>
      <w:r>
        <w:t>Billing</w:t>
      </w:r>
    </w:p>
    <w:p>
      <w:pPr>
        <w:pStyle w:val="Heading2"/>
      </w:pPr>
      <w:r>
        <w:t>18.2 UI state</w:t>
      </w:r>
    </w:p>
    <w:p>
      <w:pPr>
        <w:pStyle w:val="ListBullet"/>
      </w:pPr>
      <w:r>
        <w:t>Server state: TanStack Query.</w:t>
      </w:r>
    </w:p>
    <w:p>
      <w:pPr>
        <w:pStyle w:val="ListBullet"/>
      </w:pPr>
      <w:r>
        <w:t>Form state: React Hook Form + schema validation.</w:t>
      </w:r>
    </w:p>
    <w:p>
      <w:pPr>
        <w:pStyle w:val="ListBullet"/>
      </w:pPr>
      <w:r>
        <w:t>Local UI state: small scoped state; avoid global state unless needed.</w:t>
      </w:r>
    </w:p>
    <w:p>
      <w:pPr>
        <w:pStyle w:val="ListBullet"/>
      </w:pPr>
      <w:r>
        <w:t>URL query parameters for filters so views are shareable and reload-safe.</w:t>
      </w:r>
    </w:p>
    <w:p>
      <w:pPr>
        <w:pStyle w:val="Heading1"/>
      </w:pPr>
      <w:r>
        <w:t>19. Security Architecture</w:t>
      </w:r>
    </w:p>
    <w:p>
      <w:pPr>
        <w:pStyle w:val="ListBullet"/>
      </w:pPr>
      <w:r>
        <w:t>HTTPS everywhere.</w:t>
      </w:r>
    </w:p>
    <w:p>
      <w:pPr>
        <w:pStyle w:val="ListBullet"/>
      </w:pPr>
      <w:r>
        <w:t>Secure cookies or provider-recommended token storage; avoid long-lived tokens in localStorage.</w:t>
      </w:r>
    </w:p>
    <w:p>
      <w:pPr>
        <w:pStyle w:val="ListBullet"/>
      </w:pPr>
      <w:r>
        <w:t>CSRF protection where cookie-based sessions are used.</w:t>
      </w:r>
    </w:p>
    <w:p>
      <w:pPr>
        <w:pStyle w:val="ListBullet"/>
      </w:pPr>
      <w:r>
        <w:t>CSP and security headers.</w:t>
      </w:r>
    </w:p>
    <w:p>
      <w:pPr>
        <w:pStyle w:val="ListBullet"/>
      </w:pPr>
      <w:r>
        <w:t>Input/output validation.</w:t>
      </w:r>
    </w:p>
    <w:p>
      <w:pPr>
        <w:pStyle w:val="ListBullet"/>
      </w:pPr>
      <w:r>
        <w:t>Parameterized SQL/ORM.</w:t>
      </w:r>
    </w:p>
    <w:p>
      <w:pPr>
        <w:pStyle w:val="ListBullet"/>
      </w:pPr>
      <w:r>
        <w:t>File upload controls.</w:t>
      </w:r>
    </w:p>
    <w:p>
      <w:pPr>
        <w:pStyle w:val="ListBullet"/>
      </w:pPr>
      <w:r>
        <w:t>Secrets in managed secret storage.</w:t>
      </w:r>
    </w:p>
    <w:p>
      <w:pPr>
        <w:pStyle w:val="ListBullet"/>
      </w:pPr>
      <w:r>
        <w:t>Dependency and container vulnerability scanning.</w:t>
      </w:r>
    </w:p>
    <w:p>
      <w:pPr>
        <w:pStyle w:val="ListBullet"/>
      </w:pPr>
      <w:r>
        <w:t>Regular backups and restore tests.</w:t>
      </w:r>
    </w:p>
    <w:p>
      <w:pPr>
        <w:pStyle w:val="ListBullet"/>
      </w:pPr>
      <w:r>
        <w:t>Security incident logging and alerting.</w:t>
      </w:r>
    </w:p>
    <w:p>
      <w:pPr>
        <w:pStyle w:val="Heading2"/>
      </w:pPr>
      <w:r>
        <w:t>19.1 Threats to explicitly model</w:t>
      </w:r>
    </w:p>
    <w:p>
      <w:pPr>
        <w:pStyle w:val="ListBullet"/>
      </w:pPr>
      <w:r>
        <w:t>Cross-tenant access/IDOR</w:t>
      </w:r>
    </w:p>
    <w:p>
      <w:pPr>
        <w:pStyle w:val="ListBullet"/>
      </w:pPr>
      <w:r>
        <w:t>Broken object-level authorization</w:t>
      </w:r>
    </w:p>
    <w:p>
      <w:pPr>
        <w:pStyle w:val="ListBullet"/>
      </w:pPr>
      <w:r>
        <w:t>Malicious document upload</w:t>
      </w:r>
    </w:p>
    <w:p>
      <w:pPr>
        <w:pStyle w:val="ListBullet"/>
      </w:pPr>
      <w:r>
        <w:t>Account takeover</w:t>
      </w:r>
    </w:p>
    <w:p>
      <w:pPr>
        <w:pStyle w:val="ListBullet"/>
      </w:pPr>
      <w:r>
        <w:t>Privilege escalation</w:t>
      </w:r>
    </w:p>
    <w:p>
      <w:pPr>
        <w:pStyle w:val="ListBullet"/>
      </w:pPr>
      <w:r>
        <w:t>Notification abuse</w:t>
      </w:r>
    </w:p>
    <w:p>
      <w:pPr>
        <w:pStyle w:val="ListBullet"/>
      </w:pPr>
      <w:r>
        <w:t>Data exfiltration through exports</w:t>
      </w:r>
    </w:p>
    <w:p>
      <w:pPr>
        <w:pStyle w:val="ListBullet"/>
      </w:pPr>
      <w:r>
        <w:t>Prompt injection against AI document/RAG features</w:t>
      </w:r>
    </w:p>
    <w:p>
      <w:pPr>
        <w:pStyle w:val="ListBullet"/>
      </w:pPr>
      <w:r>
        <w:t>Provider webhook spoofing</w:t>
      </w:r>
    </w:p>
    <w:p>
      <w:pPr>
        <w:pStyle w:val="Heading1"/>
      </w:pPr>
      <w:r>
        <w:t>20. Webhooks &amp; Integrations</w:t>
      </w:r>
    </w:p>
    <w:p>
      <w:r>
        <w:t>External webhooks must be verified using provider signatures, recorded, deduplicated and processed asynchronously.</w:t>
      </w:r>
    </w:p>
    <w:p>
      <w:pPr>
        <w:pStyle w:val="ListNumber"/>
      </w:pPr>
      <w:r>
        <w:t>Receive webhook.</w:t>
      </w:r>
    </w:p>
    <w:p>
      <w:pPr>
        <w:pStyle w:val="ListNumber"/>
      </w:pPr>
      <w:r>
        <w:t>Verify signature.</w:t>
      </w:r>
    </w:p>
    <w:p>
      <w:pPr>
        <w:pStyle w:val="ListNumber"/>
      </w:pPr>
      <w:r>
        <w:t>Check event ID/idempotency.</w:t>
      </w:r>
    </w:p>
    <w:p>
      <w:pPr>
        <w:pStyle w:val="ListNumber"/>
      </w:pPr>
      <w:r>
        <w:t>Persist raw event metadata safely.</w:t>
      </w:r>
    </w:p>
    <w:p>
      <w:pPr>
        <w:pStyle w:val="ListNumber"/>
      </w:pPr>
      <w:r>
        <w:t>Enqueue processing.</w:t>
      </w:r>
    </w:p>
    <w:p>
      <w:pPr>
        <w:pStyle w:val="ListNumber"/>
      </w:pPr>
      <w:r>
        <w:t>Process domain effect.</w:t>
      </w:r>
    </w:p>
    <w:p>
      <w:pPr>
        <w:pStyle w:val="ListNumber"/>
      </w:pPr>
      <w:r>
        <w:t>Record success/failure.</w:t>
      </w:r>
    </w:p>
    <w:p>
      <w:pPr>
        <w:pStyle w:val="ListNumber"/>
      </w:pPr>
      <w:r>
        <w:t>Retry safely if transient.</w:t>
      </w:r>
    </w:p>
    <w:p>
      <w:pPr>
        <w:pStyle w:val="Heading1"/>
      </w:pPr>
      <w:r>
        <w:t>21. AI/RAG Architecture — Future</w:t>
      </w:r>
    </w:p>
    <w:p>
      <w:r>
        <w:t>AI must be isolated from the compliance transaction path. Recommended flow: user query → authorization filter → retrieval → approved knowledge sources → model → grounded answer → citations/source metadata → response log.</w:t>
      </w:r>
    </w:p>
    <w:p>
      <w:pPr>
        <w:pStyle w:val="ListBullet"/>
      </w:pPr>
      <w:r>
        <w:t>Use tenant-aware retrieval filters.</w:t>
      </w:r>
    </w:p>
    <w:p>
      <w:pPr>
        <w:pStyle w:val="ListBullet"/>
      </w:pPr>
      <w:r>
        <w:t>Separate public regulatory knowledge from private organization documents.</w:t>
      </w:r>
    </w:p>
    <w:p>
      <w:pPr>
        <w:pStyle w:val="ListBullet"/>
      </w:pPr>
      <w:r>
        <w:t>Use document permissions during retrieval.</w:t>
      </w:r>
    </w:p>
    <w:p>
      <w:pPr>
        <w:pStyle w:val="ListBullet"/>
      </w:pPr>
      <w:r>
        <w:t>Never allow retrieved instructions to override system policies.</w:t>
      </w:r>
    </w:p>
    <w:p>
      <w:pPr>
        <w:pStyle w:val="ListBullet"/>
      </w:pPr>
      <w:r>
        <w:t>Require confirmation for actions that mutate compliance records.</w:t>
      </w:r>
    </w:p>
    <w:p>
      <w:pPr>
        <w:pStyle w:val="ListBullet"/>
      </w:pPr>
      <w:r>
        <w:t>Maintain model/provider abstraction.</w:t>
      </w:r>
    </w:p>
    <w:p>
      <w:pPr>
        <w:pStyle w:val="ListBullet"/>
      </w:pPr>
      <w:r>
        <w:t>Track AI cost and usage by tenant.</w:t>
      </w:r>
    </w:p>
    <w:p>
      <w:pPr>
        <w:pStyle w:val="Heading1"/>
      </w:pPr>
      <w:r>
        <w:t>22. Observability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Signal</w:t>
            </w:r>
          </w:p>
        </w:tc>
        <w:tc>
          <w:tcPr>
            <w:tcW w:type="dxa" w:w="5040"/>
            <w:vAlign w:val="center"/>
          </w:tcPr>
          <w:p>
            <w:r>
              <w:rPr>
                <w:b/>
              </w:rPr>
              <w:t>Examples</w:t>
            </w:r>
          </w:p>
        </w:tc>
      </w:tr>
      <w:tr>
        <w:tc>
          <w:tcPr>
            <w:tcW w:type="dxa" w:w="5040"/>
            <w:vAlign w:val="top"/>
          </w:tcPr>
          <w:p>
            <w:r>
              <w:t>Metrics</w:t>
            </w:r>
          </w:p>
        </w:tc>
        <w:tc>
          <w:tcPr>
            <w:tcW w:type="dxa" w:w="5040"/>
            <w:vAlign w:val="top"/>
          </w:tcPr>
          <w:p>
            <w:r>
              <w:t>API latency, error rate, queue depth, job duration, notification success, DB connections</w:t>
            </w:r>
          </w:p>
        </w:tc>
      </w:tr>
      <w:tr>
        <w:tc>
          <w:tcPr>
            <w:tcW w:type="dxa" w:w="5040"/>
            <w:vAlign w:val="top"/>
          </w:tcPr>
          <w:p>
            <w:r>
              <w:t>Logs</w:t>
            </w:r>
          </w:p>
        </w:tc>
        <w:tc>
          <w:tcPr>
            <w:tcW w:type="dxa" w:w="5040"/>
            <w:vAlign w:val="top"/>
          </w:tcPr>
          <w:p>
            <w:r>
              <w:t>Structured JSON logs with request_id, tenant_id where safe, actor_id where appropriate</w:t>
            </w:r>
          </w:p>
        </w:tc>
      </w:tr>
      <w:tr>
        <w:tc>
          <w:tcPr>
            <w:tcW w:type="dxa" w:w="5040"/>
            <w:vAlign w:val="top"/>
          </w:tcPr>
          <w:p>
            <w:r>
              <w:t>Traces</w:t>
            </w:r>
          </w:p>
        </w:tc>
        <w:tc>
          <w:tcPr>
            <w:tcW w:type="dxa" w:w="5040"/>
            <w:vAlign w:val="top"/>
          </w:tcPr>
          <w:p>
            <w:r>
              <w:t>Browser/API → DB → queue → provider</w:t>
            </w:r>
          </w:p>
        </w:tc>
      </w:tr>
      <w:tr>
        <w:tc>
          <w:tcPr>
            <w:tcW w:type="dxa" w:w="5040"/>
            <w:vAlign w:val="top"/>
          </w:tcPr>
          <w:p>
            <w:r>
              <w:t>Alerts</w:t>
            </w:r>
          </w:p>
        </w:tc>
        <w:tc>
          <w:tcPr>
            <w:tcW w:type="dxa" w:w="5040"/>
            <w:vAlign w:val="top"/>
          </w:tcPr>
          <w:p>
            <w:r>
              <w:t>High error rate, queue backlog, failed jobs, DB saturation, notification failures</w:t>
            </w:r>
          </w:p>
        </w:tc>
      </w:tr>
      <w:tr>
        <w:tc>
          <w:tcPr>
            <w:tcW w:type="dxa" w:w="5040"/>
            <w:vAlign w:val="top"/>
          </w:tcPr>
          <w:p>
            <w:r>
              <w:t>Business metrics</w:t>
            </w:r>
          </w:p>
        </w:tc>
        <w:tc>
          <w:tcPr>
            <w:tcW w:type="dxa" w:w="5040"/>
            <w:vAlign w:val="top"/>
          </w:tcPr>
          <w:p>
            <w:r>
              <w:t>Overdue count, compliance completion, active tenants, document processing failures</w:t>
            </w:r>
          </w:p>
        </w:tc>
      </w:tr>
    </w:tbl>
    <w:p>
      <w:r>
        <w:t>Never log passwords, access tokens, full document contents or unnecessary personal data.</w:t>
      </w:r>
    </w:p>
    <w:p>
      <w:pPr>
        <w:pStyle w:val="Heading1"/>
      </w:pPr>
      <w:r>
        <w:t>23. Backup, Disaster Recovery &amp; Business Continuity</w:t>
      </w:r>
    </w:p>
    <w:p>
      <w:pPr>
        <w:pStyle w:val="ListBullet"/>
      </w:pPr>
      <w:r>
        <w:t>Managed PostgreSQL backups with point-in-time recovery where available.</w:t>
      </w:r>
    </w:p>
    <w:p>
      <w:pPr>
        <w:pStyle w:val="ListBullet"/>
      </w:pPr>
      <w:r>
        <w:t>Object storage versioning/backup strategy.</w:t>
      </w:r>
    </w:p>
    <w:p>
      <w:pPr>
        <w:pStyle w:val="ListBullet"/>
      </w:pPr>
      <w:r>
        <w:t>Redis is treated as recoverable cache unless durable queues require persistence.</w:t>
      </w:r>
    </w:p>
    <w:p>
      <w:pPr>
        <w:pStyle w:val="ListBullet"/>
      </w:pPr>
      <w:r>
        <w:t>Define RPO/RTO with business stakeholders; recommended starting target: RPO ≤ 1 hour and RTO ≤ 4 hours for a standard SaaS tier, subject to provider/cost validation.</w:t>
      </w:r>
    </w:p>
    <w:p>
      <w:pPr>
        <w:pStyle w:val="ListBullet"/>
      </w:pPr>
      <w:r>
        <w:t>Perform scheduled restore tests.</w:t>
      </w:r>
    </w:p>
    <w:p>
      <w:pPr>
        <w:pStyle w:val="ListBullet"/>
      </w:pPr>
      <w:r>
        <w:t>Document incident runbooks.</w:t>
      </w:r>
    </w:p>
    <w:p>
      <w:pPr>
        <w:pStyle w:val="ListBullet"/>
      </w:pPr>
      <w:r>
        <w:t>Keep infrastructure definitions in version control.</w:t>
      </w:r>
    </w:p>
    <w:p>
      <w:pPr>
        <w:pStyle w:val="Heading1"/>
      </w:pPr>
      <w:r>
        <w:t>24. Performance &amp; Capacity Planning</w:t>
      </w:r>
    </w:p>
    <w:p>
      <w:r>
        <w:t>Initial sizing should be based on measurable usage assumptions rather than arbitrary infrastructure.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Workload</w:t>
            </w:r>
          </w:p>
        </w:tc>
        <w:tc>
          <w:tcPr>
            <w:tcW w:type="dxa" w:w="5040"/>
            <w:vAlign w:val="center"/>
          </w:tcPr>
          <w:p>
            <w:r>
              <w:rPr>
                <w:b/>
              </w:rPr>
              <w:t>Design approach</w:t>
            </w:r>
          </w:p>
        </w:tc>
      </w:tr>
      <w:tr>
        <w:tc>
          <w:tcPr>
            <w:tcW w:type="dxa" w:w="5040"/>
            <w:vAlign w:val="top"/>
          </w:tcPr>
          <w:p>
            <w:r>
              <w:t>Normal CRUD</w:t>
            </w:r>
          </w:p>
        </w:tc>
        <w:tc>
          <w:tcPr>
            <w:tcW w:type="dxa" w:w="5040"/>
            <w:vAlign w:val="top"/>
          </w:tcPr>
          <w:p>
            <w:r>
              <w:t>Stateless API + indexed PostgreSQL</w:t>
            </w:r>
          </w:p>
        </w:tc>
      </w:tr>
      <w:tr>
        <w:tc>
          <w:tcPr>
            <w:tcW w:type="dxa" w:w="5040"/>
            <w:vAlign w:val="top"/>
          </w:tcPr>
          <w:p>
            <w:r>
              <w:t>Large tables</w:t>
            </w:r>
          </w:p>
        </w:tc>
        <w:tc>
          <w:tcPr>
            <w:tcW w:type="dxa" w:w="5040"/>
            <w:vAlign w:val="top"/>
          </w:tcPr>
          <w:p>
            <w:r>
              <w:t>Server pagination + indexed filters</w:t>
            </w:r>
          </w:p>
        </w:tc>
      </w:tr>
      <w:tr>
        <w:tc>
          <w:tcPr>
            <w:tcW w:type="dxa" w:w="5040"/>
            <w:vAlign w:val="top"/>
          </w:tcPr>
          <w:p>
            <w:r>
              <w:t>Documents</w:t>
            </w:r>
          </w:p>
        </w:tc>
        <w:tc>
          <w:tcPr>
            <w:tcW w:type="dxa" w:w="5040"/>
            <w:vAlign w:val="top"/>
          </w:tcPr>
          <w:p>
            <w:r>
              <w:t>Object storage + async processing</w:t>
            </w:r>
          </w:p>
        </w:tc>
      </w:tr>
      <w:tr>
        <w:tc>
          <w:tcPr>
            <w:tcW w:type="dxa" w:w="5040"/>
            <w:vAlign w:val="top"/>
          </w:tcPr>
          <w:p>
            <w:r>
              <w:t>Reminders</w:t>
            </w:r>
          </w:p>
        </w:tc>
        <w:tc>
          <w:tcPr>
            <w:tcW w:type="dxa" w:w="5040"/>
            <w:vAlign w:val="top"/>
          </w:tcPr>
          <w:p>
            <w:r>
              <w:t>Queue workers</w:t>
            </w:r>
          </w:p>
        </w:tc>
      </w:tr>
      <w:tr>
        <w:tc>
          <w:tcPr>
            <w:tcW w:type="dxa" w:w="5040"/>
            <w:vAlign w:val="top"/>
          </w:tcPr>
          <w:p>
            <w:r>
              <w:t>Reports</w:t>
            </w:r>
          </w:p>
        </w:tc>
        <w:tc>
          <w:tcPr>
            <w:tcW w:type="dxa" w:w="5040"/>
            <w:vAlign w:val="top"/>
          </w:tcPr>
          <w:p>
            <w:r>
              <w:t>Async export for large ranges</w:t>
            </w:r>
          </w:p>
        </w:tc>
      </w:tr>
      <w:tr>
        <w:tc>
          <w:tcPr>
            <w:tcW w:type="dxa" w:w="5040"/>
            <w:vAlign w:val="top"/>
          </w:tcPr>
          <w:p>
            <w:r>
              <w:t>AI</w:t>
            </w:r>
          </w:p>
        </w:tc>
        <w:tc>
          <w:tcPr>
            <w:tcW w:type="dxa" w:w="5040"/>
            <w:vAlign w:val="top"/>
          </w:tcPr>
          <w:p>
            <w:r>
              <w:t>Async job + per-tenant quotas</w:t>
            </w:r>
          </w:p>
        </w:tc>
      </w:tr>
      <w:tr>
        <w:tc>
          <w:tcPr>
            <w:tcW w:type="dxa" w:w="5040"/>
            <w:vAlign w:val="top"/>
          </w:tcPr>
          <w:p>
            <w:r>
              <w:t>Consultant portfolios</w:t>
            </w:r>
          </w:p>
        </w:tc>
        <w:tc>
          <w:tcPr>
            <w:tcW w:type="dxa" w:w="5040"/>
            <w:vAlign w:val="top"/>
          </w:tcPr>
          <w:p>
            <w:r>
              <w:t>Aggregate optimized queries/materialized views later</w:t>
            </w:r>
          </w:p>
        </w:tc>
      </w:tr>
    </w:tbl>
    <w:p>
      <w:r>
        <w:t>Capacity tests should simulate many small tenants and a smaller number of high-volume consultant tenants, because SaaS performance is affected by tenant distribution, not only total record count.</w:t>
      </w:r>
    </w:p>
    <w:p>
      <w:pPr>
        <w:pStyle w:val="Heading1"/>
      </w:pPr>
      <w:r>
        <w:t>25. DevOps &amp; CI/CD</w:t>
      </w:r>
    </w:p>
    <w:p>
      <w:pPr>
        <w:pStyle w:val="ListNumber"/>
      </w:pPr>
      <w:r>
        <w:t>Pull request runs lint/type checks/unit tests/security checks.</w:t>
      </w:r>
    </w:p>
    <w:p>
      <w:pPr>
        <w:pStyle w:val="ListNumber"/>
      </w:pPr>
      <w:r>
        <w:t>Build immutable container/image artifacts.</w:t>
      </w:r>
    </w:p>
    <w:p>
      <w:pPr>
        <w:pStyle w:val="ListNumber"/>
      </w:pPr>
      <w:r>
        <w:t>Run integration tests.</w:t>
      </w:r>
    </w:p>
    <w:p>
      <w:pPr>
        <w:pStyle w:val="ListNumber"/>
      </w:pPr>
      <w:r>
        <w:t>Deploy automatically to development.</w:t>
      </w:r>
    </w:p>
    <w:p>
      <w:pPr>
        <w:pStyle w:val="ListNumber"/>
      </w:pPr>
      <w:r>
        <w:t>Promote to staging with approval.</w:t>
      </w:r>
    </w:p>
    <w:p>
      <w:pPr>
        <w:pStyle w:val="ListNumber"/>
      </w:pPr>
      <w:r>
        <w:t>Run migration checks.</w:t>
      </w:r>
    </w:p>
    <w:p>
      <w:pPr>
        <w:pStyle w:val="ListNumber"/>
      </w:pPr>
      <w:r>
        <w:t>Deploy production using controlled rollout.</w:t>
      </w:r>
    </w:p>
    <w:p>
      <w:pPr>
        <w:pStyle w:val="ListNumber"/>
      </w:pPr>
      <w:r>
        <w:t>Monitor health and rollback if thresholds fail.</w:t>
      </w:r>
    </w:p>
    <w:p>
      <w:pPr>
        <w:pStyle w:val="ListBullet"/>
      </w:pPr>
      <w:r>
        <w:t>Database migrations must be backward-compatible where possible.</w:t>
      </w:r>
    </w:p>
    <w:p>
      <w:pPr>
        <w:pStyle w:val="ListBullet"/>
      </w:pPr>
      <w:r>
        <w:t>Never edit production schema manually without an audited emergency process.</w:t>
      </w:r>
    </w:p>
    <w:p>
      <w:pPr>
        <w:pStyle w:val="ListBullet"/>
      </w:pPr>
      <w:r>
        <w:t>Use feature flags for risky features.</w:t>
      </w:r>
    </w:p>
    <w:p>
      <w:pPr>
        <w:pStyle w:val="ListBullet"/>
      </w:pPr>
      <w:r>
        <w:t>Use separate secrets/config per environment.</w:t>
      </w:r>
    </w:p>
    <w:p>
      <w:pPr>
        <w:pStyle w:val="Heading1"/>
      </w:pPr>
      <w:r>
        <w:t>26.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Level</w:t>
            </w:r>
          </w:p>
        </w:tc>
        <w:tc>
          <w:tcPr>
            <w:tcW w:type="dxa" w:w="5040"/>
            <w:vAlign w:val="center"/>
          </w:tcPr>
          <w:p>
            <w:r>
              <w:rPr>
                <w:b/>
              </w:rPr>
              <w:t>Coverage</w:t>
            </w:r>
          </w:p>
        </w:tc>
      </w:tr>
      <w:tr>
        <w:tc>
          <w:tcPr>
            <w:tcW w:type="dxa" w:w="5040"/>
            <w:vAlign w:val="top"/>
          </w:tcPr>
          <w:p>
            <w:r>
              <w:t>Unit</w:t>
            </w:r>
          </w:p>
        </w:tc>
        <w:tc>
          <w:tcPr>
            <w:tcW w:type="dxa" w:w="5040"/>
            <w:vAlign w:val="top"/>
          </w:tcPr>
          <w:p>
            <w:r>
              <w:t>Rules, services, validators, permission policies</w:t>
            </w:r>
          </w:p>
        </w:tc>
      </w:tr>
      <w:tr>
        <w:tc>
          <w:tcPr>
            <w:tcW w:type="dxa" w:w="5040"/>
            <w:vAlign w:val="top"/>
          </w:tcPr>
          <w:p>
            <w:r>
              <w:t>Integration</w:t>
            </w:r>
          </w:p>
        </w:tc>
        <w:tc>
          <w:tcPr>
            <w:tcW w:type="dxa" w:w="5040"/>
            <w:vAlign w:val="top"/>
          </w:tcPr>
          <w:p>
            <w:r>
              <w:t>DB, storage, queue, notification adapters</w:t>
            </w:r>
          </w:p>
        </w:tc>
      </w:tr>
      <w:tr>
        <w:tc>
          <w:tcPr>
            <w:tcW w:type="dxa" w:w="5040"/>
            <w:vAlign w:val="top"/>
          </w:tcPr>
          <w:p>
            <w:r>
              <w:t>API</w:t>
            </w:r>
          </w:p>
        </w:tc>
        <w:tc>
          <w:tcPr>
            <w:tcW w:type="dxa" w:w="5040"/>
            <w:vAlign w:val="top"/>
          </w:tcPr>
          <w:p>
            <w:r>
              <w:t>Authentication, authorization, CRUD, edge cases</w:t>
            </w:r>
          </w:p>
        </w:tc>
      </w:tr>
      <w:tr>
        <w:tc>
          <w:tcPr>
            <w:tcW w:type="dxa" w:w="5040"/>
            <w:vAlign w:val="top"/>
          </w:tcPr>
          <w:p>
            <w:r>
              <w:t>E2E</w:t>
            </w:r>
          </w:p>
        </w:tc>
        <w:tc>
          <w:tcPr>
            <w:tcW w:type="dxa" w:w="5040"/>
            <w:vAlign w:val="top"/>
          </w:tcPr>
          <w:p>
            <w:r>
              <w:t>Onboarding, compliance lifecycle, documents, reports</w:t>
            </w:r>
          </w:p>
        </w:tc>
      </w:tr>
      <w:tr>
        <w:tc>
          <w:tcPr>
            <w:tcW w:type="dxa" w:w="5040"/>
            <w:vAlign w:val="top"/>
          </w:tcPr>
          <w:p>
            <w:r>
              <w:t>Security</w:t>
            </w:r>
          </w:p>
        </w:tc>
        <w:tc>
          <w:tcPr>
            <w:tcW w:type="dxa" w:w="5040"/>
            <w:vAlign w:val="top"/>
          </w:tcPr>
          <w:p>
            <w:r>
              <w:t>Tenant isolation, IDOR, upload, auth</w:t>
            </w:r>
          </w:p>
        </w:tc>
      </w:tr>
      <w:tr>
        <w:tc>
          <w:tcPr>
            <w:tcW w:type="dxa" w:w="5040"/>
            <w:vAlign w:val="top"/>
          </w:tcPr>
          <w:p>
            <w:r>
              <w:t>Performance</w:t>
            </w:r>
          </w:p>
        </w:tc>
        <w:tc>
          <w:tcPr>
            <w:tcW w:type="dxa" w:w="5040"/>
            <w:vAlign w:val="top"/>
          </w:tcPr>
          <w:p>
            <w:r>
              <w:t>Concurrent users, queue throughput, large tables</w:t>
            </w:r>
          </w:p>
        </w:tc>
      </w:tr>
      <w:tr>
        <w:tc>
          <w:tcPr>
            <w:tcW w:type="dxa" w:w="5040"/>
            <w:vAlign w:val="top"/>
          </w:tcPr>
          <w:p>
            <w:r>
              <w:t>Recovery</w:t>
            </w:r>
          </w:p>
        </w:tc>
        <w:tc>
          <w:tcPr>
            <w:tcW w:type="dxa" w:w="5040"/>
            <w:vAlign w:val="top"/>
          </w:tcPr>
          <w:p>
            <w:r>
              <w:t>Backup restore, failed jobs, provider outage</w:t>
            </w:r>
          </w:p>
        </w:tc>
      </w:tr>
    </w:tbl>
    <w:p>
      <w:pPr>
        <w:pStyle w:val="Heading1"/>
      </w:pPr>
      <w:r>
        <w:t>27. Key Sequence Flows</w:t>
      </w:r>
    </w:p>
    <w:p>
      <w:pPr>
        <w:pStyle w:val="Heading2"/>
      </w:pPr>
      <w:r>
        <w:t>27.1 Create compliance</w:t>
      </w:r>
    </w:p>
    <w:p>
      <w:r>
        <w:t>User → Frontend → API → Authorization → Compliance Service → Rule/Definition validation → PostgreSQL → Audit Event → Response</w:t>
      </w:r>
    </w:p>
    <w:p>
      <w:pPr>
        <w:pStyle w:val="Heading2"/>
      </w:pPr>
      <w:r>
        <w:t>27.2 Daily reminder</w:t>
      </w:r>
    </w:p>
    <w:p>
      <w:r>
        <w:t>Scheduler → Job Queue → Reminder Worker → Query due compliance → Notification Policy → Notification DB → Provider Adapter → Provider → Delivery status</w:t>
      </w:r>
    </w:p>
    <w:p>
      <w:pPr>
        <w:pStyle w:val="Heading2"/>
      </w:pPr>
      <w:r>
        <w:t>27.3 Document upload</w:t>
      </w:r>
    </w:p>
    <w:p>
      <w:r>
        <w:t>Frontend → API upload URL → Object Storage → completion callback/API → Document Service → metadata DB → scan/OCR queue → processing status</w:t>
      </w:r>
    </w:p>
    <w:p>
      <w:pPr>
        <w:pStyle w:val="Heading2"/>
      </w:pPr>
      <w:r>
        <w:t>27.4 Consultant client switch</w:t>
      </w:r>
    </w:p>
    <w:p>
      <w:r>
        <w:t>Frontend → tenant/organization context endpoint → membership authorization → client-scoped API calls → tenant/client filtered database query</w:t>
      </w:r>
    </w:p>
    <w:p>
      <w:pPr>
        <w:pStyle w:val="Heading1"/>
      </w:pPr>
      <w:r>
        <w:t>28. Error &amp; Failure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Failure</w:t>
            </w:r>
          </w:p>
        </w:tc>
        <w:tc>
          <w:tcPr>
            <w:tcW w:type="dxa" w:w="5040"/>
            <w:vAlign w:val="center"/>
          </w:tcPr>
          <w:p>
            <w:r>
              <w:rPr>
                <w:b/>
              </w:rPr>
              <w:t>Expected behavior</w:t>
            </w:r>
          </w:p>
        </w:tc>
      </w:tr>
      <w:tr>
        <w:tc>
          <w:tcPr>
            <w:tcW w:type="dxa" w:w="5040"/>
            <w:vAlign w:val="top"/>
          </w:tcPr>
          <w:p>
            <w:r>
              <w:t>DB transient failure</w:t>
            </w:r>
          </w:p>
        </w:tc>
        <w:tc>
          <w:tcPr>
            <w:tcW w:type="dxa" w:w="5040"/>
            <w:vAlign w:val="top"/>
          </w:tcPr>
          <w:p>
            <w:r>
              <w:t>Retry safe operations; return request ID; alert if sustained</w:t>
            </w:r>
          </w:p>
        </w:tc>
      </w:tr>
      <w:tr>
        <w:tc>
          <w:tcPr>
            <w:tcW w:type="dxa" w:w="5040"/>
            <w:vAlign w:val="top"/>
          </w:tcPr>
          <w:p>
            <w:r>
              <w:t>Queue unavailable</w:t>
            </w:r>
          </w:p>
        </w:tc>
        <w:tc>
          <w:tcPr>
            <w:tcW w:type="dxa" w:w="5040"/>
            <w:vAlign w:val="top"/>
          </w:tcPr>
          <w:p>
            <w:r>
              <w:t>Persist/retry where architecture supports; show degraded status</w:t>
            </w:r>
          </w:p>
        </w:tc>
      </w:tr>
      <w:tr>
        <w:tc>
          <w:tcPr>
            <w:tcW w:type="dxa" w:w="5040"/>
            <w:vAlign w:val="top"/>
          </w:tcPr>
          <w:p>
            <w:r>
              <w:t>Email provider failure</w:t>
            </w:r>
          </w:p>
        </w:tc>
        <w:tc>
          <w:tcPr>
            <w:tcW w:type="dxa" w:w="5040"/>
            <w:vAlign w:val="top"/>
          </w:tcPr>
          <w:p>
            <w:r>
              <w:t>Record failed delivery and retry</w:t>
            </w:r>
          </w:p>
        </w:tc>
      </w:tr>
      <w:tr>
        <w:tc>
          <w:tcPr>
            <w:tcW w:type="dxa" w:w="5040"/>
            <w:vAlign w:val="top"/>
          </w:tcPr>
          <w:p>
            <w:r>
              <w:t>WhatsApp provider failure</w:t>
            </w:r>
          </w:p>
        </w:tc>
        <w:tc>
          <w:tcPr>
            <w:tcW w:type="dxa" w:w="5040"/>
            <w:vAlign w:val="top"/>
          </w:tcPr>
          <w:p>
            <w:r>
              <w:t>Record provider error; retry according to policy</w:t>
            </w:r>
          </w:p>
        </w:tc>
      </w:tr>
      <w:tr>
        <w:tc>
          <w:tcPr>
            <w:tcW w:type="dxa" w:w="5040"/>
            <w:vAlign w:val="top"/>
          </w:tcPr>
          <w:p>
            <w:r>
              <w:t>Object storage failure</w:t>
            </w:r>
          </w:p>
        </w:tc>
        <w:tc>
          <w:tcPr>
            <w:tcW w:type="dxa" w:w="5040"/>
            <w:vAlign w:val="top"/>
          </w:tcPr>
          <w:p>
            <w:r>
              <w:t>Upload remains incomplete; allow retry</w:t>
            </w:r>
          </w:p>
        </w:tc>
      </w:tr>
      <w:tr>
        <w:tc>
          <w:tcPr>
            <w:tcW w:type="dxa" w:w="5040"/>
            <w:vAlign w:val="top"/>
          </w:tcPr>
          <w:p>
            <w:r>
              <w:t>OCR failure</w:t>
            </w:r>
          </w:p>
        </w:tc>
        <w:tc>
          <w:tcPr>
            <w:tcW w:type="dxa" w:w="5040"/>
            <w:vAlign w:val="top"/>
          </w:tcPr>
          <w:p>
            <w:r>
              <w:t>Document remains usable; processing marked failed</w:t>
            </w:r>
          </w:p>
        </w:tc>
      </w:tr>
      <w:tr>
        <w:tc>
          <w:tcPr>
            <w:tcW w:type="dxa" w:w="5040"/>
            <w:vAlign w:val="top"/>
          </w:tcPr>
          <w:p>
            <w:r>
              <w:t>AI provider unavailable</w:t>
            </w:r>
          </w:p>
        </w:tc>
        <w:tc>
          <w:tcPr>
            <w:tcW w:type="dxa" w:w="5040"/>
            <w:vAlign w:val="top"/>
          </w:tcPr>
          <w:p>
            <w:r>
              <w:t>Core compliance remains functional; AI feature degrades gracefully</w:t>
            </w:r>
          </w:p>
        </w:tc>
      </w:tr>
      <w:tr>
        <w:tc>
          <w:tcPr>
            <w:tcW w:type="dxa" w:w="5040"/>
            <w:vAlign w:val="top"/>
          </w:tcPr>
          <w:p>
            <w:r>
              <w:t>Rule configuration invalid</w:t>
            </w:r>
          </w:p>
        </w:tc>
        <w:tc>
          <w:tcPr>
            <w:tcW w:type="dxa" w:w="5040"/>
            <w:vAlign w:val="top"/>
          </w:tcPr>
          <w:p>
            <w:r>
              <w:t>Do not activate; require validation/approval</w:t>
            </w:r>
          </w:p>
        </w:tc>
      </w:tr>
    </w:tbl>
    <w:p>
      <w:pPr>
        <w:pStyle w:val="Heading1"/>
      </w:pPr>
      <w:r>
        <w:t>29. Security &amp; Privacy Data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Class</w:t>
            </w:r>
          </w:p>
        </w:tc>
        <w:tc>
          <w:tcPr>
            <w:tcW w:type="dxa" w:w="3360"/>
            <w:vAlign w:val="center"/>
          </w:tcPr>
          <w:p>
            <w:r>
              <w:rPr>
                <w:b/>
              </w:rPr>
              <w:t>Examples</w:t>
            </w:r>
          </w:p>
        </w:tc>
        <w:tc>
          <w:tcPr>
            <w:tcW w:type="dxa" w:w="3360"/>
            <w:vAlign w:val="center"/>
          </w:tcPr>
          <w:p>
            <w:r>
              <w:rPr>
                <w:b/>
              </w:rPr>
              <w:t>Controls</w:t>
            </w:r>
          </w:p>
        </w:tc>
      </w:tr>
      <w:tr>
        <w:tc>
          <w:tcPr>
            <w:tcW w:type="dxa" w:w="3360"/>
            <w:vAlign w:val="top"/>
          </w:tcPr>
          <w:p>
            <w:r>
              <w:t>Restricted</w:t>
            </w:r>
          </w:p>
        </w:tc>
        <w:tc>
          <w:tcPr>
            <w:tcW w:type="dxa" w:w="3360"/>
            <w:vAlign w:val="top"/>
          </w:tcPr>
          <w:p>
            <w:r>
              <w:t>Credentials, tokens, secrets</w:t>
            </w:r>
          </w:p>
        </w:tc>
        <w:tc>
          <w:tcPr>
            <w:tcW w:type="dxa" w:w="3360"/>
            <w:vAlign w:val="top"/>
          </w:tcPr>
          <w:p>
            <w:r>
              <w:t>Never log; secret manager</w:t>
            </w:r>
          </w:p>
        </w:tc>
      </w:tr>
      <w:tr>
        <w:tc>
          <w:tcPr>
            <w:tcW w:type="dxa" w:w="3360"/>
            <w:vAlign w:val="top"/>
          </w:tcPr>
          <w:p>
            <w:r>
              <w:t>Confidential</w:t>
            </w:r>
          </w:p>
        </w:tc>
        <w:tc>
          <w:tcPr>
            <w:tcW w:type="dxa" w:w="3360"/>
            <w:vAlign w:val="top"/>
          </w:tcPr>
          <w:p>
            <w:r>
              <w:t>Compliance documents, financial records</w:t>
            </w:r>
          </w:p>
        </w:tc>
        <w:tc>
          <w:tcPr>
            <w:tcW w:type="dxa" w:w="3360"/>
            <w:vAlign w:val="top"/>
          </w:tcPr>
          <w:p>
            <w:r>
              <w:t>RBAC, encryption, audit</w:t>
            </w:r>
          </w:p>
        </w:tc>
      </w:tr>
      <w:tr>
        <w:tc>
          <w:tcPr>
            <w:tcW w:type="dxa" w:w="3360"/>
            <w:vAlign w:val="top"/>
          </w:tcPr>
          <w:p>
            <w:r>
              <w:t>Personal</w:t>
            </w:r>
          </w:p>
        </w:tc>
        <w:tc>
          <w:tcPr>
            <w:tcW w:type="dxa" w:w="3360"/>
            <w:vAlign w:val="top"/>
          </w:tcPr>
          <w:p>
            <w:r>
              <w:t>Names, email, phone, addresses</w:t>
            </w:r>
          </w:p>
        </w:tc>
        <w:tc>
          <w:tcPr>
            <w:tcW w:type="dxa" w:w="3360"/>
            <w:vAlign w:val="top"/>
          </w:tcPr>
          <w:p>
            <w:r>
              <w:t>Least privilege, retention policy</w:t>
            </w:r>
          </w:p>
        </w:tc>
      </w:tr>
      <w:tr>
        <w:tc>
          <w:tcPr>
            <w:tcW w:type="dxa" w:w="3360"/>
            <w:vAlign w:val="top"/>
          </w:tcPr>
          <w:p>
            <w:r>
              <w:t>Operational</w:t>
            </w:r>
          </w:p>
        </w:tc>
        <w:tc>
          <w:tcPr>
            <w:tcW w:type="dxa" w:w="3360"/>
            <w:vAlign w:val="top"/>
          </w:tcPr>
          <w:p>
            <w:r>
              <w:t>Tasks, status, deadlines</w:t>
            </w:r>
          </w:p>
        </w:tc>
        <w:tc>
          <w:tcPr>
            <w:tcW w:type="dxa" w:w="3360"/>
            <w:vAlign w:val="top"/>
          </w:tcPr>
          <w:p>
            <w:r>
              <w:t>Tenant isolation, audit</w:t>
            </w:r>
          </w:p>
        </w:tc>
      </w:tr>
      <w:tr>
        <w:tc>
          <w:tcPr>
            <w:tcW w:type="dxa" w:w="3360"/>
            <w:vAlign w:val="top"/>
          </w:tcPr>
          <w:p>
            <w:r>
              <w:t>Public</w:t>
            </w:r>
          </w:p>
        </w:tc>
        <w:tc>
          <w:tcPr>
            <w:tcW w:type="dxa" w:w="3360"/>
            <w:vAlign w:val="top"/>
          </w:tcPr>
          <w:p>
            <w:r>
              <w:t>Product help content</w:t>
            </w:r>
          </w:p>
        </w:tc>
        <w:tc>
          <w:tcPr>
            <w:tcW w:type="dxa" w:w="3360"/>
            <w:vAlign w:val="top"/>
          </w:tcPr>
          <w:p>
            <w:r>
              <w:t>Normal access</w:t>
            </w:r>
          </w:p>
        </w:tc>
      </w:tr>
    </w:tbl>
    <w:p>
      <w:pPr>
        <w:pStyle w:val="Heading1"/>
      </w:pPr>
      <w:r>
        <w:t>30. Implementation Phases</w:t>
      </w:r>
    </w:p>
    <w:p>
      <w:pPr>
        <w:pStyle w:val="ListNumber"/>
      </w:pPr>
      <w:r>
        <w:t>Phase 0 — Architecture foundation: repository, CI/CD, environments, auth, tenant model, observability.</w:t>
      </w:r>
    </w:p>
    <w:p>
      <w:pPr>
        <w:pStyle w:val="ListNumber"/>
      </w:pPr>
      <w:r>
        <w:t>Phase 1 — Core domain: organization, compliance catalogue/rules, compliance instances, tasks, documents.</w:t>
      </w:r>
    </w:p>
    <w:p>
      <w:pPr>
        <w:pStyle w:val="ListNumber"/>
      </w:pPr>
      <w:r>
        <w:t>Phase 2 — Operations: calendar, reminders, notifications, dashboard, reports, audit.</w:t>
      </w:r>
    </w:p>
    <w:p>
      <w:pPr>
        <w:pStyle w:val="ListNumber"/>
      </w:pPr>
      <w:r>
        <w:t>Phase 3 — B2B: consultant multi-organization, advanced RBAC, subscription/entitlements.</w:t>
      </w:r>
    </w:p>
    <w:p>
      <w:pPr>
        <w:pStyle w:val="ListNumber"/>
      </w:pPr>
      <w:r>
        <w:t>Phase 4 — Integrations: email/WhatsApp, storage/calendar, digital signature.</w:t>
      </w:r>
    </w:p>
    <w:p>
      <w:pPr>
        <w:pStyle w:val="ListNumber"/>
      </w:pPr>
      <w:r>
        <w:t>Phase 5 — AI: document intelligence, RAG assistant, risk scoring.</w:t>
      </w:r>
    </w:p>
    <w:p>
      <w:pPr>
        <w:pStyle w:val="ListNumber"/>
      </w:pPr>
      <w:r>
        <w:t>Phase 6 — Expansion: grants, donors, CSR, mobile, white-label.</w:t>
      </w:r>
    </w:p>
    <w:p>
      <w:pPr>
        <w:pStyle w:val="Heading1"/>
      </w:pPr>
      <w:r>
        <w:t>31. Open Architecture Decisions Requiring Product/Technical Approval</w:t>
      </w:r>
    </w:p>
    <w:p>
      <w:pPr>
        <w:pStyle w:val="ListBullet"/>
      </w:pPr>
      <w:r>
        <w:t>Cloud provider and primary region.</w:t>
      </w:r>
    </w:p>
    <w:p>
      <w:pPr>
        <w:pStyle w:val="ListBullet"/>
      </w:pPr>
      <w:r>
        <w:t>Managed identity provider vs self-hosted identity.</w:t>
      </w:r>
    </w:p>
    <w:p>
      <w:pPr>
        <w:pStyle w:val="ListBullet"/>
      </w:pPr>
      <w:r>
        <w:t>Exact queue technology.</w:t>
      </w:r>
    </w:p>
    <w:p>
      <w:pPr>
        <w:pStyle w:val="ListBullet"/>
      </w:pPr>
      <w:r>
        <w:t>PostgreSQL HA tier and backup retention.</w:t>
      </w:r>
    </w:p>
    <w:p>
      <w:pPr>
        <w:pStyle w:val="ListBullet"/>
      </w:pPr>
      <w:r>
        <w:t>Object storage provider.</w:t>
      </w:r>
    </w:p>
    <w:p>
      <w:pPr>
        <w:pStyle w:val="ListBullet"/>
      </w:pPr>
      <w:r>
        <w:t>Email and WhatsApp providers.</w:t>
      </w:r>
    </w:p>
    <w:p>
      <w:pPr>
        <w:pStyle w:val="ListBullet"/>
      </w:pPr>
      <w:r>
        <w:t>Billing/payment provider and supported geographies.</w:t>
      </w:r>
    </w:p>
    <w:p>
      <w:pPr>
        <w:pStyle w:val="ListBullet"/>
      </w:pPr>
      <w:r>
        <w:t>Whether PostgreSQL Row Level Security is enabled in V1.</w:t>
      </w:r>
    </w:p>
    <w:p>
      <w:pPr>
        <w:pStyle w:val="ListBullet"/>
      </w:pPr>
      <w:r>
        <w:t>Exact RPO/RTO by plan.</w:t>
      </w:r>
    </w:p>
    <w:p>
      <w:pPr>
        <w:pStyle w:val="ListBullet"/>
      </w:pPr>
      <w:r>
        <w:t>Data retention and deletion periods.</w:t>
      </w:r>
    </w:p>
    <w:p>
      <w:pPr>
        <w:pStyle w:val="ListBullet"/>
      </w:pPr>
      <w:r>
        <w:t>SSO/SAML requirement for enterprise.</w:t>
      </w:r>
    </w:p>
    <w:p>
      <w:pPr>
        <w:pStyle w:val="ListBullet"/>
      </w:pPr>
      <w:r>
        <w:t>Official government integration scope and feasibility.</w:t>
      </w:r>
    </w:p>
    <w:p>
      <w:pPr>
        <w:pStyle w:val="ListBullet"/>
      </w:pPr>
      <w:r>
        <w:t>Regulatory knowledge ownership and update workflow.</w:t>
      </w:r>
    </w:p>
    <w:p>
      <w:pPr>
        <w:pStyle w:val="ListBullet"/>
      </w:pPr>
      <w:r>
        <w:t>AI model providers and data-processing terms.</w:t>
      </w:r>
    </w:p>
    <w:p>
      <w:pPr>
        <w:pStyle w:val="Heading1"/>
      </w:pPr>
      <w:r>
        <w:t>32. Recommended Repository Structure</w:t>
      </w:r>
    </w:p>
    <w:p>
      <w:r>
        <w:t>A practical monorepo can be used initially:</w:t>
      </w:r>
    </w:p>
    <w:p>
      <w:pPr>
        <w:pStyle w:val="ListBullet"/>
      </w:pPr>
      <w:r>
        <w:t>apps/web — Next.js frontend</w:t>
      </w:r>
    </w:p>
    <w:p>
      <w:pPr>
        <w:pStyle w:val="ListBullet"/>
      </w:pPr>
      <w:r>
        <w:t>apps/api — FastAPI application</w:t>
      </w:r>
    </w:p>
    <w:p>
      <w:pPr>
        <w:pStyle w:val="ListBullet"/>
      </w:pPr>
      <w:r>
        <w:t>apps/worker — background workers</w:t>
      </w:r>
    </w:p>
    <w:p>
      <w:pPr>
        <w:pStyle w:val="ListBullet"/>
      </w:pPr>
      <w:r>
        <w:t>packages/ui — shared frontend components</w:t>
      </w:r>
    </w:p>
    <w:p>
      <w:pPr>
        <w:pStyle w:val="ListBullet"/>
      </w:pPr>
      <w:r>
        <w:t>packages/contracts — shared API schemas/types where appropriate</w:t>
      </w:r>
    </w:p>
    <w:p>
      <w:pPr>
        <w:pStyle w:val="ListBullet"/>
      </w:pPr>
      <w:r>
        <w:t>infra — Terraform/deployment configuration</w:t>
      </w:r>
    </w:p>
    <w:p>
      <w:pPr>
        <w:pStyle w:val="ListBullet"/>
      </w:pPr>
      <w:r>
        <w:t>docs — ADRs, API docs, runbooks</w:t>
      </w:r>
    </w:p>
    <w:p>
      <w:pPr>
        <w:pStyle w:val="ListBullet"/>
      </w:pPr>
      <w:r>
        <w:t>tests/e2e — Playwright flows</w:t>
      </w:r>
    </w:p>
    <w:p>
      <w:r>
        <w:t>Backend domain modules should be organized by business capability rather than by technical layer alone.</w:t>
      </w:r>
    </w:p>
    <w:p>
      <w:pPr>
        <w:pStyle w:val="Heading1"/>
      </w:pPr>
      <w:r>
        <w:t>33. Definition of Done for System Design</w:t>
      </w:r>
    </w:p>
    <w:p>
      <w:pPr>
        <w:pStyle w:val="ListBullet"/>
      </w:pPr>
      <w:r>
        <w:t>Architecture diagram approved.</w:t>
      </w:r>
    </w:p>
    <w:p>
      <w:pPr>
        <w:pStyle w:val="ListBullet"/>
      </w:pPr>
      <w:r>
        <w:t>Tenant isolation model approved.</w:t>
      </w:r>
    </w:p>
    <w:p>
      <w:pPr>
        <w:pStyle w:val="ListBullet"/>
      </w:pPr>
      <w:r>
        <w:t>Domain model and ERD approved.</w:t>
      </w:r>
    </w:p>
    <w:p>
      <w:pPr>
        <w:pStyle w:val="ListBullet"/>
      </w:pPr>
      <w:r>
        <w:t>API contracts for MVP approved.</w:t>
      </w:r>
    </w:p>
    <w:p>
      <w:pPr>
        <w:pStyle w:val="ListBullet"/>
      </w:pPr>
      <w:r>
        <w:t>Authentication/RBAC design approved.</w:t>
      </w:r>
    </w:p>
    <w:p>
      <w:pPr>
        <w:pStyle w:val="ListBullet"/>
      </w:pPr>
      <w:r>
        <w:t>Document storage/security design approved.</w:t>
      </w:r>
    </w:p>
    <w:p>
      <w:pPr>
        <w:pStyle w:val="ListBullet"/>
      </w:pPr>
      <w:r>
        <w:t>Scheduler/queue design approved.</w:t>
      </w:r>
    </w:p>
    <w:p>
      <w:pPr>
        <w:pStyle w:val="ListBullet"/>
      </w:pPr>
      <w:r>
        <w:t>Notification architecture approved.</w:t>
      </w:r>
    </w:p>
    <w:p>
      <w:pPr>
        <w:pStyle w:val="ListBullet"/>
      </w:pPr>
      <w:r>
        <w:t>Audit strategy approved.</w:t>
      </w:r>
    </w:p>
    <w:p>
      <w:pPr>
        <w:pStyle w:val="ListBullet"/>
      </w:pPr>
      <w:r>
        <w:t>Backup/RPO/RTO approved.</w:t>
      </w:r>
    </w:p>
    <w:p>
      <w:pPr>
        <w:pStyle w:val="ListBullet"/>
      </w:pPr>
      <w:r>
        <w:t>Deployment and environment design approved.</w:t>
      </w:r>
    </w:p>
    <w:p>
      <w:pPr>
        <w:pStyle w:val="ListBullet"/>
      </w:pPr>
      <w:r>
        <w:t>Observability and incident strategy approved.</w:t>
      </w:r>
    </w:p>
    <w:p>
      <w:pPr>
        <w:pStyle w:val="ListBullet"/>
      </w:pPr>
      <w:r>
        <w:t>Threat model reviewed.</w:t>
      </w:r>
    </w:p>
    <w:p>
      <w:pPr>
        <w:pStyle w:val="ListBullet"/>
      </w:pPr>
      <w:r>
        <w:t>ADR list created for unresolved technical choices.</w:t>
      </w:r>
    </w:p>
    <w:p>
      <w:pPr>
        <w:pStyle w:val="Heading1"/>
      </w:pPr>
      <w:r>
        <w:t>34. Final Architecture Recommendation</w:t>
      </w:r>
    </w:p>
    <w:p>
      <w:r>
        <w:t>For V1, implement a modular monolith using Next.js + TypeScript on the frontend and FastAPI + PostgreSQL on the backend, with Redis and asynchronous workers for scheduling/notifications, S3-compatible object storage for documents, managed identity, and managed cloud infrastructure. Keep domain modules and interfaces clean enough that high-load areas can later become services.</w:t>
      </w:r>
    </w:p>
    <w:p>
      <w:r>
        <w:t>Do not start with dozens of microservices. The highest technical risk is not service count; it is incorrect compliance modeling, weak tenant isolation, unreliable scheduled work, poor evidence traceability and insecure document handling.</w:t>
      </w:r>
    </w:p>
    <w:p>
      <w:r>
        <w:t>The architecture should make these five properties non-negotiable: (1) every compliance record has an owner and deadline, (2) every important action is traceable, (3) every document is securely versioned, (4) every tenant is isolated, and (5) regulatory rules are versioned configuration rather than hard-coded application logic.</w:t>
      </w:r>
    </w:p>
    <w:p>
      <w:pPr>
        <w:pStyle w:val="Heading1"/>
      </w:pPr>
      <w:r>
        <w:t>Appendix A — Traceability to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Requirement area</w:t>
            </w:r>
          </w:p>
        </w:tc>
        <w:tc>
          <w:tcPr>
            <w:tcW w:type="dxa" w:w="5040"/>
            <w:vAlign w:val="center"/>
          </w:tcPr>
          <w:p>
            <w:r>
              <w:rPr>
                <w:b/>
              </w:rPr>
              <w:t>Primary design component</w:t>
            </w:r>
          </w:p>
        </w:tc>
      </w:tr>
      <w:tr>
        <w:tc>
          <w:tcPr>
            <w:tcW w:type="dxa" w:w="5040"/>
            <w:vAlign w:val="top"/>
          </w:tcPr>
          <w:p>
            <w:r>
              <w:t>Organization management</w:t>
            </w:r>
          </w:p>
        </w:tc>
        <w:tc>
          <w:tcPr>
            <w:tcW w:type="dxa" w:w="5040"/>
            <w:vAlign w:val="top"/>
          </w:tcPr>
          <w:p>
            <w:r>
              <w:t>Tenant/Organization modules + PostgreSQL</w:t>
            </w:r>
          </w:p>
        </w:tc>
      </w:tr>
      <w:tr>
        <w:tc>
          <w:tcPr>
            <w:tcW w:type="dxa" w:w="5040"/>
            <w:vAlign w:val="top"/>
          </w:tcPr>
          <w:p>
            <w:r>
              <w:t>Compliance management</w:t>
            </w:r>
          </w:p>
        </w:tc>
        <w:tc>
          <w:tcPr>
            <w:tcW w:type="dxa" w:w="5040"/>
            <w:vAlign w:val="top"/>
          </w:tcPr>
          <w:p>
            <w:r>
              <w:t>Compliance domain + Rule Engine</w:t>
            </w:r>
          </w:p>
        </w:tc>
      </w:tr>
      <w:tr>
        <w:tc>
          <w:tcPr>
            <w:tcW w:type="dxa" w:w="5040"/>
            <w:vAlign w:val="top"/>
          </w:tcPr>
          <w:p>
            <w:r>
              <w:t>Calendar/deadlines</w:t>
            </w:r>
          </w:p>
        </w:tc>
        <w:tc>
          <w:tcPr>
            <w:tcW w:type="dxa" w:w="5040"/>
            <w:vAlign w:val="top"/>
          </w:tcPr>
          <w:p>
            <w:r>
              <w:t>Scheduler + Compliance domain</w:t>
            </w:r>
          </w:p>
        </w:tc>
      </w:tr>
      <w:tr>
        <w:tc>
          <w:tcPr>
            <w:tcW w:type="dxa" w:w="5040"/>
            <w:vAlign w:val="top"/>
          </w:tcPr>
          <w:p>
            <w:r>
              <w:t>Tasks/workflows</w:t>
            </w:r>
          </w:p>
        </w:tc>
        <w:tc>
          <w:tcPr>
            <w:tcW w:type="dxa" w:w="5040"/>
            <w:vAlign w:val="top"/>
          </w:tcPr>
          <w:p>
            <w:r>
              <w:t>Workflow/Task module</w:t>
            </w:r>
          </w:p>
        </w:tc>
      </w:tr>
      <w:tr>
        <w:tc>
          <w:tcPr>
            <w:tcW w:type="dxa" w:w="5040"/>
            <w:vAlign w:val="top"/>
          </w:tcPr>
          <w:p>
            <w:r>
              <w:t>Documents</w:t>
            </w:r>
          </w:p>
        </w:tc>
        <w:tc>
          <w:tcPr>
            <w:tcW w:type="dxa" w:w="5040"/>
            <w:vAlign w:val="top"/>
          </w:tcPr>
          <w:p>
            <w:r>
              <w:t>Document service + Object Storage</w:t>
            </w:r>
          </w:p>
        </w:tc>
      </w:tr>
      <w:tr>
        <w:tc>
          <w:tcPr>
            <w:tcW w:type="dxa" w:w="5040"/>
            <w:vAlign w:val="top"/>
          </w:tcPr>
          <w:p>
            <w:r>
              <w:t>Notifications</w:t>
            </w:r>
          </w:p>
        </w:tc>
        <w:tc>
          <w:tcPr>
            <w:tcW w:type="dxa" w:w="5040"/>
            <w:vAlign w:val="top"/>
          </w:tcPr>
          <w:p>
            <w:r>
              <w:t>Notification service + Queue</w:t>
            </w:r>
          </w:p>
        </w:tc>
      </w:tr>
      <w:tr>
        <w:tc>
          <w:tcPr>
            <w:tcW w:type="dxa" w:w="5040"/>
            <w:vAlign w:val="top"/>
          </w:tcPr>
          <w:p>
            <w:r>
              <w:t>Reports</w:t>
            </w:r>
          </w:p>
        </w:tc>
        <w:tc>
          <w:tcPr>
            <w:tcW w:type="dxa" w:w="5040"/>
            <w:vAlign w:val="top"/>
          </w:tcPr>
          <w:p>
            <w:r>
              <w:t>Reporting module</w:t>
            </w:r>
          </w:p>
        </w:tc>
      </w:tr>
      <w:tr>
        <w:tc>
          <w:tcPr>
            <w:tcW w:type="dxa" w:w="5040"/>
            <w:vAlign w:val="top"/>
          </w:tcPr>
          <w:p>
            <w:r>
              <w:t>Audit</w:t>
            </w:r>
          </w:p>
        </w:tc>
        <w:tc>
          <w:tcPr>
            <w:tcW w:type="dxa" w:w="5040"/>
            <w:vAlign w:val="top"/>
          </w:tcPr>
          <w:p>
            <w:r>
              <w:t>Audit event store</w:t>
            </w:r>
          </w:p>
        </w:tc>
      </w:tr>
      <w:tr>
        <w:tc>
          <w:tcPr>
            <w:tcW w:type="dxa" w:w="5040"/>
            <w:vAlign w:val="top"/>
          </w:tcPr>
          <w:p>
            <w:r>
              <w:t>B2B multi-organization</w:t>
            </w:r>
          </w:p>
        </w:tc>
        <w:tc>
          <w:tcPr>
            <w:tcW w:type="dxa" w:w="5040"/>
            <w:vAlign w:val="top"/>
          </w:tcPr>
          <w:p>
            <w:r>
              <w:t>Tenant + Organization + Membership model</w:t>
            </w:r>
          </w:p>
        </w:tc>
      </w:tr>
      <w:tr>
        <w:tc>
          <w:tcPr>
            <w:tcW w:type="dxa" w:w="5040"/>
            <w:vAlign w:val="top"/>
          </w:tcPr>
          <w:p>
            <w:r>
              <w:t>Subscriptions</w:t>
            </w:r>
          </w:p>
        </w:tc>
        <w:tc>
          <w:tcPr>
            <w:tcW w:type="dxa" w:w="5040"/>
            <w:vAlign w:val="top"/>
          </w:tcPr>
          <w:p>
            <w:r>
              <w:t>Billing + Entitlement module</w:t>
            </w:r>
          </w:p>
        </w:tc>
      </w:tr>
      <w:tr>
        <w:tc>
          <w:tcPr>
            <w:tcW w:type="dxa" w:w="5040"/>
            <w:vAlign w:val="top"/>
          </w:tcPr>
          <w:p>
            <w:r>
              <w:t>AI</w:t>
            </w:r>
          </w:p>
        </w:tc>
        <w:tc>
          <w:tcPr>
            <w:tcW w:type="dxa" w:w="5040"/>
            <w:vAlign w:val="top"/>
          </w:tcPr>
          <w:p>
            <w:r>
              <w:t>Isolated AI orchestration/retrieval layer</w:t>
            </w:r>
          </w:p>
        </w:tc>
      </w:tr>
    </w:tbl>
    <w:p>
      <w:pPr>
        <w:pStyle w:val="Heading1"/>
      </w:pPr>
      <w:r>
        <w:t>Appendix B — Source of Requirements</w:t>
      </w:r>
    </w:p>
    <w:p>
      <w:r>
        <w:t>This SDD is derived from the previously prepared NGO Compliance SaaS Detailed Requirement Analysis. The requirements document remains the business source of truth; when a technical design conflicts with a business requirement, the Product Owner and Solution Architect must resolve the conflict through a documented change/architecture decision.</w:t>
      </w:r>
    </w:p>
    <w:p>
      <w:r>
        <w:t>Before production launch, legal/compliance experts must validate the actual Indian statutory catalogue, applicability rules, forms and deadlines configured in the platform.</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Technical Design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NGO Compliance Management SaaS — System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