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100" w:before="0"/>
        <w:jc w:val="left"/>
      </w:pPr>
      <w:r>
        <w:rPr>
          <w:rFonts w:ascii="Georgia" w:cs="Georgia" w:eastAsia="Georgia" w:hAnsi="Georgia"/>
          <w:b/>
          <w:bCs/>
          <w:color w:val="111111"/>
          <w:sz w:val="52"/>
          <w:szCs w:val="52"/>
        </w:rPr>
        <w:t xml:space="preserve">Mathematics of Vec3</w:t>
      </w:r>
    </w:p>
    <w:p>
      <w:pPr>
        <w:spacing w:after="320" w:before="0"/>
        <w:jc w:val="left"/>
      </w:pPr>
      <w:r>
        <w:rPr>
          <w:rFonts w:ascii="Georgia" w:cs="Georgia" w:eastAsia="Georgia" w:hAnsi="Georgia"/>
          <w:i/>
          <w:iCs/>
          <w:color w:val="444444"/>
          <w:sz w:val="28"/>
          <w:szCs w:val="28"/>
        </w:rPr>
        <w:t xml:space="preserve">Geometry, Algebra, and Analysis of Epistemic State Space</w:t>
      </w:r>
    </w:p>
    <w:p>
      <w:pPr>
        <w:pBdr>
          <w:bottom w:val="single" w:color="222222" w:sz="6" w:space="1"/>
        </w:pBdr>
        <w:spacing w:after="0" w:before="0"/>
      </w:pPr>
    </w:p>
    <w:p>
      <w:pPr>
        <w:spacing w:after="320" w:before="0"/>
      </w:pPr>
    </w:p>
    <w:p>
      <w:pPr>
        <w:spacing w:after="120" w:before="0"/>
      </w:pPr>
      <w:r>
        <w:rPr>
          <w:rFonts w:ascii="Georgia" w:cs="Georgia" w:eastAsia="Georgia" w:hAnsi="Georgia"/>
          <w:b/>
          <w:bCs/>
          <w:caps/>
          <w:spacing w:val="40"/>
          <w:sz w:val="22"/>
          <w:szCs w:val="22"/>
        </w:rPr>
        <w:t xml:space="preserve">Abstract</w:t>
      </w:r>
    </w:p>
    <w:p>
      <w:pPr>
        <w:spacing w:after="200" w:before="0"/>
        <w:jc w:val="both"/>
      </w:pPr>
      <w:r>
        <w:rPr>
          <w:rFonts w:ascii="Georgia" w:cs="Georgia" w:eastAsia="Georgia" w:hAnsi="Georgia"/>
          <w:color w:val="222222"/>
          <w:sz w:val="22"/>
          <w:szCs w:val="22"/>
        </w:rPr>
        <w:t xml:space="preserve">Vec3(T, R, V) defines a three-dimensional bounded space of epistemic states. The three axes represent non-derivable epistemic questions — they are not statistically or causally independent, and the coupling between them is part of the structure. This paper develops the mathematics that coupling generates. Treating Vec3 as a vector rather than three independent scalars reveals structure the scalar view discards: inter-axis coupling angles that give geometric definitions of failure modes without reference to thresholds; action transforms as 3×3 matrices whose off-diagonal entries are the dominant source of cross-axis failure modes, whose eigenvectors are stable inquiry modes, and whose determinant encodes irreversibility; a Jacobian whose full off-diagonal structure is the gap between current implementations and a complete predictive theory; path-dependent integration whose non-conservativity follows algebraically from the non-commutativity of action transforms. Sections 2–5 form the mathematical backbone — trigonometric structure, linear algebra, differential structure, and integration — and are closest to current implementation. Section 6 develops the complex embedding z = T + iR: the pairing maps the T-R plane onto ℂ, makes Goodhart leakage the anti-holomorphic component of the Wirtinger decomposition, and gives residues and spectral analysis as structural consequences; this section assumes smooth continuous mappings over what is in practice a discrete bounded system, and concepts are either tied to computable quantities or marked as future formalization. Section 7 treats the update rule as a complex iterative map, yielding damping, phase locking, and resonance as characterizations of convergence and failure. Section 8 extends to population-level field structure. Section 9 collects open problems.</w:t>
      </w:r>
    </w:p>
    <w:p>
      <w:pPr>
        <w:spacing w:after="160" w:before="0"/>
      </w:pPr>
    </w:p>
    <w:p>
      <w:pPr>
        <w:pBdr>
          <w:bottom w:val="single" w:color="222222" w:sz="6" w:space="1"/>
        </w:pBdr>
        <w:spacing w:after="0" w:before="0"/>
      </w:pPr>
    </w:p>
    <w:p>
      <w:pPr>
        <w:spacing w:after="240" w:before="0"/>
      </w:pPr>
    </w:p>
    <w:p>
      <w:pPr>
        <w:pStyle w:val="Heading1"/>
        <w:spacing w:after="160" w:before="400"/>
      </w:pPr>
      <w:r>
        <w:rPr>
          <w:rFonts w:ascii="Georgia" w:cs="Georgia" w:eastAsia="Georgia" w:hAnsi="Georgia"/>
          <w:b/>
          <w:bCs/>
          <w:color w:val="111111"/>
          <w:sz w:val="26"/>
          <w:szCs w:val="26"/>
        </w:rPr>
        <w:t xml:space="preserve">1.  The State Space</w:t>
      </w:r>
    </w:p>
    <w:p>
      <w:pPr>
        <w:spacing w:after="180" w:before="0"/>
        <w:jc w:val="both"/>
      </w:pPr>
      <w:r>
        <w:rPr>
          <w:rFonts w:ascii="Georgia" w:cs="Georgia" w:eastAsia="Georgia" w:hAnsi="Georgia"/>
          <w:sz w:val="22"/>
          <w:szCs w:val="22"/>
        </w:rPr>
        <w:t xml:space="preserve">Vec3(T, R, V) is a point in the bounded cube [−1, +1]³. The three axes represent non-derivable epistemic questions — none can be answered by consulting the others — but they are not statistically or causally independent. Actions that move T will typically move R; the coupling between axes is not incidental but constitutive of the structure. The independence claim is epistemic: each axis asks a question the others cannot answer.</w:t>
      </w:r>
    </w:p>
    <w:p>
      <w:pPr>
        <w:spacing w:after="180" w:before="0"/>
        <w:jc w:val="both"/>
      </w:pPr>
      <w:r>
        <w:rPr>
          <w:rFonts w:ascii="Georgia" w:cs="Georgia" w:eastAsia="Georgia" w:hAnsi="Georgia"/>
          <w:sz w:val="22"/>
          <w:szCs w:val="22"/>
        </w:rPr>
        <w:t xml:space="preserve">T (Truthness) asks whether the primary criterion was satisfied. R (Reliability) asks whether the result is internally consistent across repeated measurement. V (Validity) asks whether the result is meaningfully comparable to the reference at all. Their joint sign pattern partitions the cube into ten named regions.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1400"/>
        <w:gridCol w:w="12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Region</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Vec3 signature</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Geometric character</w:t>
            </w:r>
          </w:p>
        </w:tc>
        <w:tc>
          <w:tcPr>
            <w:tcW w:type="dxa" w:w="14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Action</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Invisible to scalar?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Clean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≈0R, ≈0V)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Interior, positive octant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Accept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Clean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≈0R, ≈0V)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Interior, T-negative 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Reject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Pyrrhic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−R, ≈0V)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Anti-aligned T-R, positive 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Hold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Broken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−R, ≈0V)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Anti-aligned T-R, negative 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Rollback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Orthogonal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≈0R, −V)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V-negative half, positive 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Reframe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Orthogonal Fail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≈0R, −V)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V-negative half, negative 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Reframe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Goodhart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R≥θ, V≥θ)</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High-R/V sector; structural dist anomaly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Reject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Paradox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−R, −V)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All-conflict vertex vicinity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Audit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Catastrophe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−R, −V)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All-negative octant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Diagnostic</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w:t>
            </w:r>
          </w:p>
        </w:tc>
      </w:tr>
    </w:tbl>
    <w:p>
      <w:pPr>
        <w:spacing w:after="200" w:before="0"/>
      </w:pPr>
    </w:p>
    <w:p>
      <w:pPr>
        <w:spacing w:after="180" w:before="0"/>
        <w:jc w:val="both"/>
      </w:pPr>
      <w:r>
        <w:rPr>
          <w:rFonts w:ascii="Georgia" w:cs="Georgia" w:eastAsia="Georgia" w:hAnsi="Georgia"/>
          <w:sz w:val="22"/>
          <w:szCs w:val="22"/>
        </w:rPr>
        <w:t xml:space="preserve">Whether the full cube is reachable is an empirical question that must be answered domain by domain. Some sign-pattern combinations may be structurally impossible; if large regions are unreachable, Vec3 does not live on a cube but on a constrained manifold embedded in ℝ³. The present treatment models Vec3 as living in the full cube, with linear algebra operating as a local ℝ³ approximation projected back to [−1, +1]³ by clamping. The manifold interpretation — which would unlock intrinsic curvature and geodesics as the correct notion of optimal path — is deferred to §9. Until then, the ℝ³ model is explicitly an approximation, valid in the interior and approximate near the boundary.</w:t>
      </w:r>
    </w:p>
    <w:p>
      <w:pPr>
        <w:spacing w:after="180" w:before="0"/>
        <w:jc w:val="both"/>
      </w:pPr>
      <w:r>
        <w:rPr>
          <w:rFonts w:ascii="Georgia" w:cs="Georgia" w:eastAsia="Georgia" w:hAnsi="Georgia"/>
          <w:sz w:val="22"/>
          <w:szCs w:val="22"/>
        </w:rPr>
        <w:t xml:space="preserve">Vec3 assumes all three axes are simultaneously defined. A partial state arises when one or more axes are structurally undefined rather than merely near zero: V becomes absent when the reference frame is lost entirely; R is unobservable when too few measurements exist. A partial state is a constraint on the cube, not a point in it. Substituting zero for an undefined axis misrepresents the state — a missing V treated as V = 0 falls in the Orthogonal region, which is a specific meaningful outcome, not the same as an axis whose value is unknown. Differential operations on partial states are degenerate and should not be attempted until the missing axes are restored.</w:t>
      </w:r>
    </w:p>
    <w:p>
      <w:pPr>
        <w:spacing w:after="80" w:before="0"/>
      </w:pPr>
    </w:p>
    <w:p>
      <w:pPr>
        <w:pStyle w:val="Heading1"/>
        <w:spacing w:after="160" w:before="400"/>
      </w:pPr>
      <w:r>
        <w:rPr>
          <w:rFonts w:ascii="Georgia" w:cs="Georgia" w:eastAsia="Georgia" w:hAnsi="Georgia"/>
          <w:b/>
          <w:bCs/>
          <w:color w:val="111111"/>
          <w:sz w:val="26"/>
          <w:szCs w:val="26"/>
        </w:rPr>
        <w:t xml:space="preserve">2.  Trigonometric Structure</w:t>
      </w:r>
    </w:p>
    <w:p>
      <w:pPr>
        <w:pStyle w:val="Heading2"/>
        <w:spacing w:after="100" w:before="280"/>
      </w:pPr>
      <w:r>
        <w:rPr>
          <w:rFonts w:ascii="Georgia" w:cs="Georgia" w:eastAsia="Georgia" w:hAnsi="Georgia"/>
          <w:b/>
          <w:bCs/>
          <w:color w:val="333333"/>
          <w:sz w:val="22"/>
          <w:szCs w:val="22"/>
        </w:rPr>
        <w:t xml:space="preserve">2.1  Magnitude and direction</w:t>
      </w:r>
    </w:p>
    <w:p>
      <w:pPr>
        <w:spacing w:after="180" w:before="0"/>
        <w:jc w:val="both"/>
      </w:pPr>
      <w:r>
        <w:rPr>
          <w:rFonts w:ascii="Georgia" w:cs="Georgia" w:eastAsia="Georgia" w:hAnsi="Georgia"/>
          <w:sz w:val="22"/>
          <w:szCs w:val="22"/>
        </w:rPr>
        <w:t xml:space="preserve">Vec3(T, R, V) is both a point in a bounded space and a direction from the origin. The Euclidean norm</w:t>
      </w:r>
    </w:p>
    <w:p>
      <w:pPr>
        <w:spacing w:after="80" w:before="80"/>
        <w:ind w:left="640"/>
      </w:pPr>
      <w:r>
        <w:rPr>
          <w:rFonts w:ascii="Courier New" w:cs="Courier New" w:eastAsia="Courier New" w:hAnsi="Courier New"/>
          <w:color w:val="222222"/>
          <w:sz w:val="20"/>
          <w:szCs w:val="20"/>
        </w:rPr>
        <w:t xml:space="preserve">|v| = √(T² + R² + V²)</w:t>
      </w:r>
    </w:p>
    <w:p>
      <w:pPr>
        <w:spacing w:after="180" w:before="0"/>
        <w:jc w:val="both"/>
      </w:pPr>
      <w:r>
        <w:rPr>
          <w:rFonts w:ascii="Georgia" w:cs="Georgia" w:eastAsia="Georgia" w:hAnsi="Georgia"/>
          <w:sz w:val="22"/>
          <w:szCs w:val="22"/>
        </w:rPr>
        <w:t xml:space="preserve">is the signal strength of the state — how definitively it is located, independent of direction. This is a design choice: the Euclidean norm treats the three axes as equally weighted. Other norms are possible and would encode different assumptions about relative axis importance. Signal strength is not a measure of quality: a state in the all-negative octant (Catastrophe) can have high magnitude. What it captures is epistemic definitiveness — a low-magnitude state is inconclusive regardless of direction; a high-magnitude state carries strong signal regardless of whether that signal is favorable. Signal strength gates classification decisions before any sign-pattern logic is applied: states below a minimum magnitude carry insufficient signal to classify reliably.</w:t>
      </w:r>
    </w:p>
    <w:p>
      <w:pPr>
        <w:spacing w:after="180" w:before="0"/>
        <w:jc w:val="both"/>
      </w:pPr>
      <w:r>
        <w:rPr>
          <w:rFonts w:ascii="Georgia" w:cs="Georgia" w:eastAsia="Georgia" w:hAnsi="Georgia"/>
          <w:sz w:val="22"/>
          <w:szCs w:val="22"/>
        </w:rPr>
        <w:t xml:space="preserve">Separating magnitude from direction separates two questions that raw axis values conflate: how much epistemic content a state carries, and where that content is oriented.</w:t>
      </w:r>
    </w:p>
    <w:p>
      <w:pPr>
        <w:pStyle w:val="Heading2"/>
        <w:spacing w:after="100" w:before="280"/>
      </w:pPr>
      <w:r>
        <w:rPr>
          <w:rFonts w:ascii="Georgia" w:cs="Georgia" w:eastAsia="Georgia" w:hAnsi="Georgia"/>
          <w:b/>
          <w:bCs/>
          <w:color w:val="333333"/>
          <w:sz w:val="22"/>
          <w:szCs w:val="22"/>
        </w:rPr>
        <w:t xml:space="preserve">2.2  Inter-axis coupling angles</w:t>
      </w:r>
    </w:p>
    <w:p>
      <w:pPr>
        <w:spacing w:after="180" w:before="0"/>
        <w:jc w:val="both"/>
      </w:pPr>
      <w:r>
        <w:rPr>
          <w:rFonts w:ascii="Georgia" w:cs="Georgia" w:eastAsia="Georgia" w:hAnsi="Georgia"/>
          <w:sz w:val="22"/>
          <w:szCs w:val="22"/>
        </w:rPr>
        <w:t xml:space="preserve">The cosine of the angle between any two axis components measures their coupling — whether they tend to move together, independently, or in opposition under typical actions:</w:t>
      </w:r>
    </w:p>
    <w:p>
      <w:pPr>
        <w:spacing w:after="80" w:before="80"/>
        <w:ind w:left="640"/>
      </w:pPr>
      <w:r>
        <w:rPr>
          <w:rFonts w:ascii="Courier New" w:cs="Courier New" w:eastAsia="Courier New" w:hAnsi="Courier New"/>
          <w:color w:val="222222"/>
          <w:sz w:val="20"/>
          <w:szCs w:val="20"/>
        </w:rPr>
        <w:t xml:space="preserve">cos(θ_TR) = (T · R) / (|T| · |R|)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cos(θ)</w:t>
            </w:r>
          </w:p>
        </w:tc>
        <w:tc>
          <w:tcPr>
            <w:tcW w:type="dxa" w:w="776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Geometric meaning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Aligned — the two components move together under typical 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  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Orthogonal — locally independent; changes in one carry no signal about the other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Anti-aligned — improving one structurally degrades the other</w:t>
            </w:r>
          </w:p>
        </w:tc>
      </w:tr>
    </w:tbl>
    <w:p>
      <w:pPr>
        <w:spacing w:after="200" w:before="0"/>
      </w:pPr>
    </w:p>
    <w:p>
      <w:pPr>
        <w:spacing w:after="180" w:before="0"/>
        <w:jc w:val="both"/>
      </w:pPr>
      <w:r>
        <w:rPr>
          <w:rFonts w:ascii="Georgia" w:cs="Georgia" w:eastAsia="Georgia" w:hAnsi="Georgia"/>
          <w:sz w:val="22"/>
          <w:szCs w:val="22"/>
        </w:rPr>
        <w:t xml:space="preserve">This gives geometric definitions of failure modes without reference to threshold values. A Pyrrhic Pass is not defined by a threshold on R — it is the anti-aligned direction in the (T, R) plane, where cos(θ_TR) &lt; 0. Goodhart gaming is anti-alignment between T and V: cos(θ_TV) &lt; 0 while the evaluation signal remains formally intact. A Clean Pass is near-alignment across all three pairs. Any threshold-based implementation of these conditions is an approximation of the underlying angular geometry; the angles are the exact structure the thresholds approximate.</w:t>
      </w:r>
    </w:p>
    <w:p>
      <w:pPr>
        <w:pStyle w:val="Heading2"/>
        <w:spacing w:after="100" w:before="280"/>
      </w:pPr>
      <w:r>
        <w:rPr>
          <w:rFonts w:ascii="Georgia" w:cs="Georgia" w:eastAsia="Georgia" w:hAnsi="Georgia"/>
          <w:b/>
          <w:bCs/>
          <w:color w:val="333333"/>
          <w:sz w:val="22"/>
          <w:szCs w:val="22"/>
        </w:rPr>
        <w:t xml:space="preserve">2.3  Angular velocity as early warning</w:t>
      </w:r>
    </w:p>
    <w:p>
      <w:pPr>
        <w:spacing w:after="180" w:before="0"/>
        <w:jc w:val="both"/>
      </w:pPr>
      <w:r>
        <w:rPr>
          <w:rFonts w:ascii="Georgia" w:cs="Georgia" w:eastAsia="Georgia" w:hAnsi="Georgia"/>
          <w:sz w:val="22"/>
          <w:szCs w:val="22"/>
        </w:rPr>
        <w:t xml:space="preserve">The rate of change of an inter-axis angle across sequential observations,</w:t>
      </w:r>
    </w:p>
    <w:p>
      <w:pPr>
        <w:spacing w:after="80" w:before="80"/>
        <w:ind w:left="640"/>
      </w:pPr>
      <w:r>
        <w:rPr>
          <w:rFonts w:ascii="Courier New" w:cs="Courier New" w:eastAsia="Courier New" w:hAnsi="Courier New"/>
          <w:color w:val="222222"/>
          <w:sz w:val="20"/>
          <w:szCs w:val="20"/>
        </w:rPr>
        <w:t xml:space="preserve">dθ_TR/dn,   dθ_TV/dn,   dθ_RV/dn</w:t>
      </w:r>
    </w:p>
    <w:p>
      <w:pPr>
        <w:spacing w:after="180" w:before="0"/>
        <w:jc w:val="both"/>
      </w:pPr>
      <w:r>
        <w:rPr>
          <w:rFonts w:ascii="Georgia" w:cs="Georgia" w:eastAsia="Georgia" w:hAnsi="Georgia"/>
          <w:sz w:val="22"/>
          <w:szCs w:val="22"/>
        </w:rPr>
        <w:t xml:space="preserve">measures how fast the current state is rotating toward or away from a named failure region. A trajectory where dθ_TV/dn is increasing is rotating toward the Goodhart region before V has gone negative — a strictly earlier signal than raw axis monitoring. Angular velocity is computable from the angle between successive Vec3 states in any accumulated history; it adds a predictive layer unavailable to point-in-time state inspection.</w:t>
      </w:r>
    </w:p>
    <w:p>
      <w:pPr>
        <w:pStyle w:val="Heading2"/>
        <w:spacing w:after="100" w:before="280"/>
      </w:pPr>
      <w:r>
        <w:rPr>
          <w:rFonts w:ascii="Georgia" w:cs="Georgia" w:eastAsia="Georgia" w:hAnsi="Georgia"/>
          <w:b/>
          <w:bCs/>
          <w:color w:val="333333"/>
          <w:sz w:val="22"/>
          <w:szCs w:val="22"/>
        </w:rPr>
        <w:t xml:space="preserve">2.4  Spherical coordinates</w:t>
      </w:r>
    </w:p>
    <w:p>
      <w:pPr>
        <w:spacing w:after="180" w:before="0"/>
        <w:jc w:val="both"/>
      </w:pPr>
      <w:r>
        <w:rPr>
          <w:rFonts w:ascii="Georgia" w:cs="Georgia" w:eastAsia="Georgia" w:hAnsi="Georgia"/>
          <w:sz w:val="22"/>
          <w:szCs w:val="22"/>
        </w:rPr>
        <w:t xml:space="preserve">The spherical parameterization separates magnitude from direction explicitly:</w:t>
      </w:r>
    </w:p>
    <w:p>
      <w:pPr>
        <w:spacing w:after="28" w:before="28"/>
        <w:ind w:left="640"/>
      </w:pPr>
      <w:r>
        <w:rPr>
          <w:rFonts w:ascii="Courier New" w:cs="Courier New" w:eastAsia="Courier New" w:hAnsi="Courier New"/>
          <w:color w:val="222222"/>
          <w:sz w:val="20"/>
          <w:szCs w:val="20"/>
        </w:rPr>
        <w:t xml:space="preserve">T = r cosθ sinφ</w:t>
      </w:r>
    </w:p>
    <w:p>
      <w:pPr>
        <w:spacing w:after="28" w:before="28"/>
        <w:ind w:left="640"/>
      </w:pPr>
      <w:r>
        <w:rPr>
          <w:rFonts w:ascii="Courier New" w:cs="Courier New" w:eastAsia="Courier New" w:hAnsi="Courier New"/>
          <w:color w:val="222222"/>
          <w:sz w:val="20"/>
          <w:szCs w:val="20"/>
        </w:rPr>
        <w:t xml:space="preserve">R = r sinθ sinφ</w:t>
      </w:r>
    </w:p>
    <w:p>
      <w:pPr>
        <w:spacing w:after="28" w:before="28"/>
        <w:ind w:left="640"/>
      </w:pPr>
      <w:r>
        <w:rPr>
          <w:rFonts w:ascii="Courier New" w:cs="Courier New" w:eastAsia="Courier New" w:hAnsi="Courier New"/>
          <w:color w:val="222222"/>
          <w:sz w:val="20"/>
          <w:szCs w:val="20"/>
        </w:rPr>
        <w:t xml:space="preserve">V = r cosφ</w:t>
      </w:r>
    </w:p>
    <w:p>
      <w:pPr>
        <w:spacing w:after="180" w:before="0"/>
        <w:jc w:val="both"/>
      </w:pPr>
      <w:r>
        <w:rPr>
          <w:rFonts w:ascii="Georgia" w:cs="Georgia" w:eastAsia="Georgia" w:hAnsi="Georgia"/>
          <w:sz w:val="22"/>
          <w:szCs w:val="22"/>
        </w:rPr>
        <w:t xml:space="preserve">where r is signal strength, θ is orientation within the (T, R) plane, and φ is elevation toward or away from the V axis. Three qualitatively distinct trajectory types become distinguishable: increasing r with stable angles is clean signal growth; stable r with rotating angles is redistribution of epistemic effort without net progress; increasing r with rotating angles is the geometric precursor to evaluation drift — apparent signal growth while inquiry direction shifts. This last type is indistinguishable from genuine progress in the scalar projection but is geometrically distinct in the full space.</w:t>
      </w:r>
    </w:p>
    <w:p>
      <w:pPr>
        <w:pStyle w:val="Heading2"/>
        <w:spacing w:after="100" w:before="280"/>
      </w:pPr>
      <w:r>
        <w:rPr>
          <w:rFonts w:ascii="Georgia" w:cs="Georgia" w:eastAsia="Georgia" w:hAnsi="Georgia"/>
          <w:b/>
          <w:bCs/>
          <w:color w:val="333333"/>
          <w:sz w:val="22"/>
          <w:szCs w:val="22"/>
        </w:rPr>
        <w:t xml:space="preserve">2.5  Cross-instance geometry</w:t>
      </w:r>
    </w:p>
    <w:p>
      <w:pPr>
        <w:spacing w:after="180" w:before="0"/>
        <w:jc w:val="both"/>
      </w:pPr>
      <w:r>
        <w:rPr>
          <w:rFonts w:ascii="Georgia" w:cs="Georgia" w:eastAsia="Georgia" w:hAnsi="Georgia"/>
          <w:sz w:val="22"/>
          <w:szCs w:val="22"/>
        </w:rPr>
        <w:t xml:space="preserve">When two independent observations produce Vec3 states v₁ and v₂, the dot product</w:t>
      </w:r>
    </w:p>
    <w:p>
      <w:pPr>
        <w:spacing w:after="80" w:before="80"/>
        <w:ind w:left="640"/>
      </w:pPr>
      <w:r>
        <w:rPr>
          <w:rFonts w:ascii="Courier New" w:cs="Courier New" w:eastAsia="Courier New" w:hAnsi="Courier New"/>
          <w:color w:val="222222"/>
          <w:sz w:val="20"/>
          <w:szCs w:val="20"/>
        </w:rPr>
        <w:t xml:space="preserve">v₁ · v₂ = |v₁||v₂| cosθ</w:t>
      </w:r>
    </w:p>
    <w:p>
      <w:pPr>
        <w:spacing w:after="180" w:before="0"/>
        <w:jc w:val="both"/>
      </w:pPr>
      <w:r>
        <w:rPr>
          <w:rFonts w:ascii="Georgia" w:cs="Georgia" w:eastAsia="Georgia" w:hAnsi="Georgia"/>
          <w:sz w:val="22"/>
          <w:szCs w:val="22"/>
        </w:rPr>
        <w:t xml:space="preserve">measures epistemic agreement between them. Orthogonality — dot product near zero — is the geometric condition for genuine complementarity: the two observations are covering independent dimensions of the space rather than confirming or contradicting each other. A conclusion confirmed by orthogonal independent observations is structurally more robust than one confirmed by near-parallel observations, because orthogonal coverage implies stability across independent inquiry directions. Scalar aggregation treats all confirming observations as equivalent regardless of their geometric relationship; the dot product makes that relationship explicit.</w:t>
      </w:r>
    </w:p>
    <w:p>
      <w:pPr>
        <w:spacing w:after="180" w:before="0"/>
        <w:jc w:val="both"/>
      </w:pPr>
      <w:r>
        <w:rPr>
          <w:rFonts w:ascii="Georgia" w:cs="Georgia" w:eastAsia="Georgia" w:hAnsi="Georgia"/>
          <w:sz w:val="22"/>
          <w:szCs w:val="22"/>
        </w:rPr>
        <w:t xml:space="preserve">The cross product v₁ × v₂ is perpendicular to both states — the direction in Vec3 space that neither observation has explored. When two independent inquiries have established complementary results, the cross product of their Vec3 states locates the natural direction for a synthesizing inquiry that extends rather than duplicates what each established independently.</w:t>
      </w:r>
    </w:p>
    <w:p>
      <w:pPr>
        <w:spacing w:after="80" w:before="0"/>
      </w:pPr>
    </w:p>
    <w:p>
      <w:pPr>
        <w:pStyle w:val="Heading1"/>
        <w:spacing w:after="160" w:before="400"/>
      </w:pPr>
      <w:r>
        <w:rPr>
          <w:rFonts w:ascii="Georgia" w:cs="Georgia" w:eastAsia="Georgia" w:hAnsi="Georgia"/>
          <w:b/>
          <w:bCs/>
          <w:color w:val="111111"/>
          <w:sz w:val="26"/>
          <w:szCs w:val="26"/>
        </w:rPr>
        <w:t xml:space="preserve">3.  Linear Algebra of Actions</w:t>
      </w:r>
    </w:p>
    <w:p>
      <w:pPr>
        <w:spacing w:after="180" w:before="0"/>
        <w:jc w:val="both"/>
      </w:pPr>
      <w:r>
        <w:rPr>
          <w:rFonts w:ascii="Georgia" w:cs="Georgia" w:eastAsia="Georgia" w:hAnsi="Georgia"/>
          <w:sz w:val="22"/>
          <w:szCs w:val="22"/>
        </w:rPr>
        <w:t xml:space="preserve">An action — any operation applied to the subject of evaluation — is modeled as a linear operator on Vec3. The general form is a 3×3 matrix M operating on the current state:</w:t>
      </w:r>
    </w:p>
    <w:p>
      <w:pPr>
        <w:spacing w:after="80" w:before="80"/>
        <w:ind w:left="640"/>
      </w:pPr>
      <w:r>
        <w:rPr>
          <w:rFonts w:ascii="Courier New" w:cs="Courier New" w:eastAsia="Courier New" w:hAnsi="Courier New"/>
          <w:color w:val="222222"/>
          <w:sz w:val="20"/>
          <w:szCs w:val="20"/>
        </w:rPr>
        <w:t xml:space="preserve">[T', R', V']ᵀ = M · [T, R, V]ᵀ</w:t>
      </w:r>
    </w:p>
    <w:p>
      <w:pPr>
        <w:spacing w:after="180" w:before="0"/>
        <w:jc w:val="both"/>
      </w:pPr>
      <w:r>
        <w:rPr>
          <w:rFonts w:ascii="Georgia" w:cs="Georgia" w:eastAsia="Georgia" w:hAnsi="Georgia"/>
          <w:sz w:val="22"/>
          <w:szCs w:val="22"/>
        </w:rPr>
        <w:t xml:space="preserve">The transform is computed in ℝ³ and the result is projected back to [−1, +1]³ by clamping. This means eigenvectors, determinants, and Jacobian entries are properties of the local linear approximation at the current state, not global properties of the bounded cube. Near the boundary, clamping introduces nonlinearity that the linear model does not capture; the approximation is valid in the interior.</w:t>
      </w:r>
    </w:p>
    <w:p>
      <w:pPr>
        <w:spacing w:after="180" w:before="0"/>
        <w:jc w:val="both"/>
      </w:pPr>
      <w:r>
        <w:rPr>
          <w:rFonts w:ascii="Georgia" w:cs="Georgia" w:eastAsia="Georgia" w:hAnsi="Georgia"/>
          <w:sz w:val="22"/>
          <w:szCs w:val="22"/>
        </w:rPr>
        <w:t xml:space="preserve">The diagonal entries (a_TT, a_RR, a_VV) describe how each axis reinforces itself under the action. The off-diagonal entries describe cross-axis effects: a_TR is how R contributes to T, a_TV is how V affects T, and so on. These off-diagonal entries are the cross-partial derivatives of the Jacobian (§4.1); the matrix formulation makes that connection explicit.</w:t>
      </w:r>
    </w:p>
    <w:p>
      <w:pPr>
        <w:pStyle w:val="Heading2"/>
        <w:spacing w:after="100" w:before="280"/>
      </w:pPr>
      <w:r>
        <w:rPr>
          <w:rFonts w:ascii="Georgia" w:cs="Georgia" w:eastAsia="Georgia" w:hAnsi="Georgia"/>
          <w:b/>
          <w:bCs/>
          <w:color w:val="333333"/>
          <w:sz w:val="22"/>
          <w:szCs w:val="22"/>
        </w:rPr>
        <w:t xml:space="preserve">3.1  Transformation types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Type</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Matrix structure</w:t>
            </w:r>
          </w:p>
        </w:tc>
        <w:tc>
          <w:tcPr>
            <w:tcW w:type="dxa" w:w="476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Character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Diagonal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Nonzero only on diagonal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Each axis moves independently — the implicit assumption of any system treating the axes as separate scalars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Coupling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Nonzero off-diagonal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Actions that move one axis simultaneously move others; the dominant source of cross-axis failure modes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Orthogonal, det =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Rebalances axis distribution without changing total signal strength; the matrix form of inquiry reorientation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Shear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One axis proportional to another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Hard structural tradeoff; the matrix form of a region where no threshold adjustment escapes the coupling</w:t>
            </w:r>
          </w:p>
        </w:tc>
      </w:tr>
    </w:tbl>
    <w:p>
      <w:pPr>
        <w:spacing w:after="200" w:before="0"/>
      </w:pPr>
    </w:p>
    <w:p>
      <w:pPr>
        <w:spacing w:after="180" w:before="0"/>
        <w:jc w:val="both"/>
      </w:pPr>
      <w:r>
        <w:rPr>
          <w:rFonts w:ascii="Georgia" w:cs="Georgia" w:eastAsia="Georgia" w:hAnsi="Georgia"/>
          <w:sz w:val="22"/>
          <w:szCs w:val="22"/>
        </w:rPr>
        <w:t xml:space="preserve">Any system that tracks Vec3 axes independently is implicitly assuming a diagonal M at every step — that actions have no cross-axis effects. The off-diagonal entries are where the dominant class of cross-axis failure modes originates: a_TR &lt; 0 produces Pyrrhic dynamics, a_TV &lt; 0 produces Goodhart dynamics, a_VT that makes V a function of T produces evaluation collapse. Failure modes can arise from diagonal terms alone — noise amplification, uniform degradation across all axes — but cross-axis failure modes require off-diagonal structure by definition. Identifying shear structure in an empirical Jacobian would locate regions of action space where cross-axis tradeoffs are not incidental but architecturally forced.</w:t>
      </w:r>
    </w:p>
    <w:p>
      <w:pPr>
        <w:pStyle w:val="Heading2"/>
        <w:spacing w:after="100" w:before="280"/>
      </w:pPr>
      <w:r>
        <w:rPr>
          <w:rFonts w:ascii="Georgia" w:cs="Georgia" w:eastAsia="Georgia" w:hAnsi="Georgia"/>
          <w:b/>
          <w:bCs/>
          <w:color w:val="333333"/>
          <w:sz w:val="22"/>
          <w:szCs w:val="22"/>
        </w:rPr>
        <w:t xml:space="preserve">3.2  Non-commutativity and path dependence</w:t>
      </w:r>
    </w:p>
    <w:p>
      <w:pPr>
        <w:spacing w:after="180" w:before="0"/>
        <w:jc w:val="both"/>
      </w:pPr>
      <w:r>
        <w:rPr>
          <w:rFonts w:ascii="Georgia" w:cs="Georgia" w:eastAsia="Georgia" w:hAnsi="Georgia"/>
          <w:sz w:val="22"/>
          <w:szCs w:val="22"/>
        </w:rPr>
        <w:t xml:space="preserve">When multiple actions are applied in sequence, the net transform is the matrix product M₂M₁. Matrix multiplication is not commutative — M₂M₁ ≠ M₁M₂ in general — which means the order in which actions are applied affects the final Vec3 state, not just the set of actions taken. The commutator</w:t>
      </w:r>
    </w:p>
    <w:p>
      <w:pPr>
        <w:spacing w:after="80" w:before="80"/>
        <w:ind w:left="640"/>
      </w:pPr>
      <w:r>
        <w:rPr>
          <w:rFonts w:ascii="Courier New" w:cs="Courier New" w:eastAsia="Courier New" w:hAnsi="Courier New"/>
          <w:color w:val="222222"/>
          <w:sz w:val="20"/>
          <w:szCs w:val="20"/>
        </w:rPr>
        <w:t xml:space="preserve">[M₁, M₂] = M₁M₂ − M₂M₁</w:t>
      </w:r>
    </w:p>
    <w:p>
      <w:pPr>
        <w:spacing w:after="180" w:before="0"/>
        <w:jc w:val="both"/>
      </w:pPr>
      <w:r>
        <w:rPr>
          <w:rFonts w:ascii="Georgia" w:cs="Georgia" w:eastAsia="Georgia" w:hAnsi="Georgia"/>
          <w:sz w:val="22"/>
          <w:szCs w:val="22"/>
        </w:rPr>
        <w:t xml:space="preserve">measures how much order matters. When the commutator is zero, the two actions commute and sequence is irrelevant to the outcome. When it is nonzero, the sequence encodes information that neither action alone contains. Path dependence is not an additional assumption; it follows algebraically from the off-diagonal structure of the transforms. Empirically, it implies that two inquiry histories reaching the same final Vec3 state via different action sequences may carry qualitatively different accumulated knowledge — the trajectory matters, not just the endpoint.</w:t>
      </w:r>
    </w:p>
    <w:p>
      <w:pPr>
        <w:pStyle w:val="Heading2"/>
        <w:spacing w:after="100" w:before="280"/>
      </w:pPr>
      <w:r>
        <w:rPr>
          <w:rFonts w:ascii="Georgia" w:cs="Georgia" w:eastAsia="Georgia" w:hAnsi="Georgia"/>
          <w:b/>
          <w:bCs/>
          <w:color w:val="333333"/>
          <w:sz w:val="22"/>
          <w:szCs w:val="22"/>
        </w:rPr>
        <w:t xml:space="preserve">3.3  Eigenvectors as stable inquiry modes</w:t>
      </w:r>
    </w:p>
    <w:p>
      <w:pPr>
        <w:spacing w:after="180" w:before="0"/>
        <w:jc w:val="both"/>
      </w:pPr>
      <w:r>
        <w:rPr>
          <w:rFonts w:ascii="Georgia" w:cs="Georgia" w:eastAsia="Georgia" w:hAnsi="Georgia"/>
          <w:sz w:val="22"/>
          <w:szCs w:val="22"/>
        </w:rPr>
        <w:t xml:space="preserve">An eigenvector of M is a Vec3 direction v such that Mv = λv: the direction is preserved by the action, only scaled by λ.</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Eigenvalue λ</w:t>
            </w:r>
          </w:p>
        </w:tc>
        <w:tc>
          <w:tcPr>
            <w:tcW w:type="dxa" w:w="776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Meaning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λ &gt;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Amplifying direction — repeated application grows the component along this eigenvector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λ =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Stable direction — preserved without change; signature of a sustained attractor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0 &lt; λ &lt;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Damping direction — the component along this eigenvector shrinks; eventually negligible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λ &lt; 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Oscillating direction — the component flips sign each application; unstable</w:t>
            </w:r>
          </w:p>
        </w:tc>
      </w:tr>
    </w:tbl>
    <w:p>
      <w:pPr>
        <w:spacing w:after="200" w:before="0"/>
      </w:pPr>
    </w:p>
    <w:p>
      <w:pPr>
        <w:spacing w:after="180" w:before="0"/>
        <w:jc w:val="both"/>
      </w:pPr>
      <w:r>
        <w:rPr>
          <w:rFonts w:ascii="Georgia" w:cs="Georgia" w:eastAsia="Georgia" w:hAnsi="Georgia"/>
          <w:sz w:val="22"/>
          <w:szCs w:val="22"/>
        </w:rPr>
        <w:t xml:space="preserve">Eigenvectors are the stable modes of the epistemic dynamic — directions the system naturally amplifies or damps rather than rotates. The Goodhart attractor is the eigenvector with λ &gt; 1 in the high-T, low-V direction: repeated application of the criterion-optimizing action grows the state in a direction moving away from valid evaluation. The genuine target — high T with stable R and V — is an eigenvector with λ ≈ 1: the action sustains it without amplification or decay. Identifying these eigenvectors empirically, from the accumulated history of how actions have moved Vec3 states, would locate both the target directions to reinforce and the attractor directions to suppress. The distinction between a λ ≈ 1 stable attractor and a λ &gt; 1 amplifying attractor is not visible to scalar evaluation, which sees only the T component of each.</w:t>
      </w:r>
    </w:p>
    <w:p>
      <w:pPr>
        <w:pStyle w:val="Heading2"/>
        <w:spacing w:after="100" w:before="280"/>
      </w:pPr>
      <w:r>
        <w:rPr>
          <w:rFonts w:ascii="Georgia" w:cs="Georgia" w:eastAsia="Georgia" w:hAnsi="Georgia"/>
          <w:b/>
          <w:bCs/>
          <w:color w:val="333333"/>
          <w:sz w:val="22"/>
          <w:szCs w:val="22"/>
        </w:rPr>
        <w:t xml:space="preserve">3.4  Determinant and irreversibility</w:t>
      </w:r>
    </w:p>
    <w:p>
      <w:pPr>
        <w:spacing w:after="180" w:before="0"/>
        <w:jc w:val="both"/>
      </w:pPr>
      <w:r>
        <w:rPr>
          <w:rFonts w:ascii="Georgia" w:cs="Georgia" w:eastAsia="Georgia" w:hAnsi="Georgia"/>
          <w:sz w:val="22"/>
          <w:szCs w:val="22"/>
        </w:rPr>
        <w:t xml:space="preserve">The determinant of M measures volume scaling — how much the transformation expands or contracts the space of distinguishable epistemic states. det(M) &gt; 1 means the action is diversifying the state space; det(M) &lt; 1 means it is contracting. det(M) = 0 means the action collapses a full dimension: V becoming a linear function of T is a det = 0 signature — validity is no longer an independent degree of freedom, and the three-dimensional space has collapsed to two-dimensional or less.</w:t>
      </w:r>
    </w:p>
    <w:p>
      <w:pPr>
        <w:spacing w:after="180" w:before="0"/>
        <w:jc w:val="both"/>
      </w:pPr>
      <w:r>
        <w:rPr>
          <w:rFonts w:ascii="Georgia" w:cs="Georgia" w:eastAsia="Georgia" w:hAnsi="Georgia"/>
          <w:sz w:val="22"/>
          <w:szCs w:val="22"/>
        </w:rPr>
        <w:t xml:space="preserve">Non-invertibility — det(M) = 0, or near-zero in the noisy empirical case — is the algebraic statement of irreversibility. The transformation cannot be undone because it has destroyed information. Evaluation collapse is typically irreversible in this sense: no subsequent action restores the prior (T, R, V) configuration, because the mapping from the original space to the collapsed space has lost a dimension. The relationship between non-invertibility here and the pole structure of the complex embedding (§6.3) is direct: both are statements of the same one-way information loss at the boundary where V → 0.</w:t>
      </w:r>
    </w:p>
    <w:p>
      <w:pPr>
        <w:spacing w:after="80" w:before="0"/>
      </w:pPr>
    </w:p>
    <w:p>
      <w:pPr>
        <w:pStyle w:val="Heading1"/>
        <w:spacing w:after="160" w:before="400"/>
      </w:pPr>
      <w:r>
        <w:rPr>
          <w:rFonts w:ascii="Georgia" w:cs="Georgia" w:eastAsia="Georgia" w:hAnsi="Georgia"/>
          <w:b/>
          <w:bCs/>
          <w:color w:val="111111"/>
          <w:sz w:val="26"/>
          <w:szCs w:val="26"/>
        </w:rPr>
        <w:t xml:space="preserve">4.  Differential Structure</w:t>
      </w:r>
    </w:p>
    <w:p>
      <w:pPr>
        <w:spacing w:after="180" w:before="0"/>
        <w:jc w:val="both"/>
      </w:pPr>
      <w:r>
        <w:rPr>
          <w:rFonts w:ascii="Georgia" w:cs="Georgia" w:eastAsia="Georgia" w:hAnsi="Georgia"/>
          <w:sz w:val="22"/>
          <w:szCs w:val="22"/>
        </w:rPr>
        <w:t xml:space="preserve">The derivative of Vec3 with respect to a discrete parameter n — action sequence index, observation count, or any monotone counter that advances with each step — is the epistemic velocity:</w:t>
      </w:r>
    </w:p>
    <w:p>
      <w:pPr>
        <w:spacing w:after="80" w:before="80"/>
        <w:ind w:left="640"/>
      </w:pPr>
      <w:r>
        <w:rPr>
          <w:rFonts w:ascii="Courier New" w:cs="Courier New" w:eastAsia="Courier New" w:hAnsi="Courier New"/>
          <w:color w:val="222222"/>
          <w:sz w:val="20"/>
          <w:szCs w:val="20"/>
        </w:rPr>
        <w:t xml:space="preserve">ΔVec3 / Δn = (ΔT/Δn, ΔR/Δn, ΔV/Δn)</w:t>
      </w:r>
    </w:p>
    <w:p>
      <w:pPr>
        <w:spacing w:after="180" w:before="0"/>
        <w:jc w:val="both"/>
      </w:pPr>
      <w:r>
        <w:rPr>
          <w:rFonts w:ascii="Georgia" w:cs="Georgia" w:eastAsia="Georgia" w:hAnsi="Georgia"/>
          <w:sz w:val="22"/>
          <w:szCs w:val="22"/>
        </w:rPr>
        <w:t xml:space="preserve">The three components have qualitatively distinct meanings. ΔT/Δn is the criterion trend. ΔR/Δn is the coherence trend — are results becoming more or less internally consistent as the inquiry advances? ΔV/Δn is the validity trend — is the evaluation remaining well-posed or drifting toward incomparability? A trajectory where ΔT/Δn &gt; 0 while ΔR/Δn &lt; 0 is Pyrrhic: criterion satisfaction is rising on top of internal fragility. A trajectory where ΔT/Δn &gt; 0 while ΔV/Δn &lt; 0 is approaching Goodhart. Both are invisible to scalar differentiation, which sees only ΔT/Δn.</w:t>
      </w:r>
    </w:p>
    <w:p>
      <w:pPr>
        <w:pStyle w:val="Heading2"/>
        <w:spacing w:after="100" w:before="280"/>
      </w:pPr>
      <w:r>
        <w:rPr>
          <w:rFonts w:ascii="Georgia" w:cs="Georgia" w:eastAsia="Georgia" w:hAnsi="Georgia"/>
          <w:b/>
          <w:bCs/>
          <w:color w:val="333333"/>
          <w:sz w:val="22"/>
          <w:szCs w:val="22"/>
        </w:rPr>
        <w:t xml:space="preserve">4.1  The Jacobian</w:t>
      </w:r>
    </w:p>
    <w:p>
      <w:pPr>
        <w:spacing w:after="180" w:before="0"/>
        <w:jc w:val="both"/>
      </w:pPr>
      <w:r>
        <w:rPr>
          <w:rFonts w:ascii="Georgia" w:cs="Georgia" w:eastAsia="Georgia" w:hAnsi="Georgia"/>
          <w:sz w:val="22"/>
          <w:szCs w:val="22"/>
        </w:rPr>
        <w:t xml:space="preserve">The Jacobian is the 3×k matrix of partial derivatives of each epistemic axis with respect to each of k candidate action types — the empirical version of the action transform matrix M from §3, estimated from accumulated observation history rather than specified analytically:</w:t>
      </w:r>
    </w:p>
    <w:p>
      <w:pPr>
        <w:spacing w:after="80" w:before="80"/>
        <w:ind w:left="640"/>
      </w:pPr>
      <w:r>
        <w:rPr>
          <w:rFonts w:ascii="Courier New" w:cs="Courier New" w:eastAsia="Courier New" w:hAnsi="Courier New"/>
          <w:color w:val="222222"/>
          <w:sz w:val="20"/>
          <w:szCs w:val="20"/>
        </w:rPr>
        <w:t xml:space="preserve">J = [ ∂Vec3ᵢ/∂aⱼ ]   (3 rows × k columns)</w:t>
      </w:r>
    </w:p>
    <w:p>
      <w:pPr>
        <w:spacing w:after="180" w:before="0"/>
        <w:jc w:val="both"/>
      </w:pPr>
      <w:r>
        <w:rPr>
          <w:rFonts w:ascii="Georgia" w:cs="Georgia" w:eastAsia="Georgia" w:hAnsi="Georgia"/>
          <w:sz w:val="22"/>
          <w:szCs w:val="22"/>
        </w:rPr>
        <w:t xml:space="preserve">Each entry ∂Vec3ᵢ/∂aⱼ describes how action aⱼ moves axis i from the current state. The diagonal entries — per-axis delta per action — are tractable to estimate from observed data and constitute the first-order approximation of the epistemic dynamics. The off-diagonal entries — how an action that moves T simultaneously moves R and V — are where the actionable predictive structure lives. Knowing that a given action improves T at the cost of V before the cost is observed requires off-diagonal information. Any system that estimates only the diagonal Jacobian is treating the three axes as locally independent and will be surprised by every cross-axis effect.</w:t>
      </w:r>
    </w:p>
    <w:p>
      <w:pPr>
        <w:spacing w:after="180" w:before="0"/>
        <w:jc w:val="both"/>
      </w:pPr>
      <w:r>
        <w:rPr>
          <w:rFonts w:ascii="Georgia" w:cs="Georgia" w:eastAsia="Georgia" w:hAnsi="Georgia"/>
          <w:sz w:val="22"/>
          <w:szCs w:val="22"/>
        </w:rPr>
        <w:t xml:space="preserve">Gradient-following as a continuous operation — finding the action direction that maximally improves Vec3 — requires a metric over action space so that the Jacobian can be interpolated between observed action points. Without this metric, the gradient is defined only at observed actions and cannot generalize to unobserved ones. Defining the action-space metric is a prerequisite for making the Jacobian a true gradient estimator; this is formalized in §9.</w:t>
      </w:r>
    </w:p>
    <w:p>
      <w:pPr>
        <w:pStyle w:val="Heading2"/>
        <w:spacing w:after="100" w:before="280"/>
      </w:pPr>
      <w:r>
        <w:rPr>
          <w:rFonts w:ascii="Georgia" w:cs="Georgia" w:eastAsia="Georgia" w:hAnsi="Georgia"/>
          <w:b/>
          <w:bCs/>
          <w:color w:val="333333"/>
          <w:sz w:val="22"/>
          <w:szCs w:val="22"/>
        </w:rPr>
        <w:t xml:space="preserve">4.2  The Hessian and basin geometry</w:t>
      </w:r>
    </w:p>
    <w:p>
      <w:pPr>
        <w:spacing w:after="180" w:before="0"/>
        <w:jc w:val="both"/>
      </w:pPr>
      <w:r>
        <w:rPr>
          <w:rFonts w:ascii="Georgia" w:cs="Georgia" w:eastAsia="Georgia" w:hAnsi="Georgia"/>
          <w:sz w:val="22"/>
          <w:szCs w:val="22"/>
        </w:rPr>
        <w:t xml:space="preserve">The Hessian — the matrix of second partial derivatives of T with respect to action pairs — describes the curvature of the T landscape around a local optimum. Positive curvature in all directions (broad basin) means small perturbations to action do not collapse T: the result is robust. Negative curvature in some direction (narrow peak) means an action slightly different from the optimal collapses T.</w:t>
      </w:r>
    </w:p>
    <w:p>
      <w:pPr>
        <w:spacing w:after="180" w:before="0"/>
        <w:jc w:val="both"/>
      </w:pPr>
      <w:r>
        <w:rPr>
          <w:rFonts w:ascii="Georgia" w:cs="Georgia" w:eastAsia="Georgia" w:hAnsi="Georgia"/>
          <w:sz w:val="22"/>
          <w:szCs w:val="22"/>
        </w:rPr>
        <w:t xml:space="preserve">R is hypothesized to function as an empirical proxy for this curvature, without requiring the Hessian to be computed explicitly. The proposed mechanism: high curvature → sensitive to perturbation → internal inconsistency across slightly varied measurements → low R. Low curvature → robust to perturbation → consistent across variations → high R. If this hypothesis holds, a result at a broad basin and a Pyrrhic result near a narrow peak can have identical T values and identical first derivatives in action space, with R providing the only distinguishing signal. This is not a derivation — it is a testable hypothesis. The test: introducing small perturbations to measurement conditions should produce larger Vec3 variance for states with low R than for states with high R at the same T level.</w:t>
      </w:r>
    </w:p>
    <w:p>
      <w:pPr>
        <w:pStyle w:val="Heading2"/>
        <w:spacing w:after="100" w:before="280"/>
      </w:pPr>
      <w:r>
        <w:rPr>
          <w:rFonts w:ascii="Georgia" w:cs="Georgia" w:eastAsia="Georgia" w:hAnsi="Georgia"/>
          <w:b/>
          <w:bCs/>
          <w:color w:val="333333"/>
          <w:sz w:val="22"/>
          <w:szCs w:val="22"/>
        </w:rPr>
        <w:t xml:space="preserve">4.3  Curl and closed-loop tests</w:t>
      </w:r>
    </w:p>
    <w:p>
      <w:pPr>
        <w:spacing w:after="180" w:before="0"/>
        <w:jc w:val="both"/>
      </w:pPr>
      <w:r>
        <w:rPr>
          <w:rFonts w:ascii="Georgia" w:cs="Georgia" w:eastAsia="Georgia" w:hAnsi="Georgia"/>
          <w:sz w:val="22"/>
          <w:szCs w:val="22"/>
        </w:rPr>
        <w:t xml:space="preserve">The curl of the Vec3 field over action space measures path dependence locally: nonzero curl indicates that closed loops in action space produce net epistemic change, consistent with the non-commutativity established in §3.2. In a discrete action vocabulary, curl is measured directly via closed-loop tests:</w:t>
      </w:r>
    </w:p>
    <w:p>
      <w:pPr>
        <w:spacing w:after="180" w:before="0"/>
        <w:jc w:val="both"/>
      </w:pPr>
      <w:r>
        <w:rPr>
          <w:rFonts w:ascii="Georgia" w:cs="Georgia" w:eastAsia="Georgia" w:hAnsi="Georgia"/>
          <w:sz w:val="22"/>
          <w:szCs w:val="22"/>
        </w:rPr>
        <w:t xml:space="preserve">Apply actions A → B → C → A starting from state v₀. Compute ΔVec3_loop = v(after loop) − v₀. If ΔVec3_loop ≠ 0, the field has nonzero curl in that region of action space.</w:t>
      </w:r>
    </w:p>
    <w:p>
      <w:pPr>
        <w:spacing w:after="180" w:before="0"/>
        <w:jc w:val="both"/>
      </w:pPr>
      <w:r>
        <w:rPr>
          <w:rFonts w:ascii="Georgia" w:cs="Georgia" w:eastAsia="Georgia" w:hAnsi="Georgia"/>
          <w:sz w:val="22"/>
          <w:szCs w:val="22"/>
        </w:rPr>
        <w:t xml:space="preserve">A cyclic epistemic dynamic — improving T by an action that degrades R, recovering R by an action that degrades T, cycling without net progress — has a specific curl signature: a nonzero ΔVec3_loop with a characteristic sign pattern. The high-rejection-rate heuristic used in many iterative systems is the time-domain detection of this condition. The closed-loop ΔVec3 test is the precise geometric version: it identifies the exact cycling period, separates genuine curl from high-variance noise, and can distinguish a tight cycle from a slow drift.</w:t>
      </w:r>
    </w:p>
    <w:p>
      <w:pPr>
        <w:spacing w:after="80" w:before="0"/>
      </w:pPr>
    </w:p>
    <w:p>
      <w:pPr>
        <w:pStyle w:val="Heading1"/>
        <w:spacing w:after="160" w:before="400"/>
      </w:pPr>
      <w:r>
        <w:rPr>
          <w:rFonts w:ascii="Georgia" w:cs="Georgia" w:eastAsia="Georgia" w:hAnsi="Georgia"/>
          <w:b/>
          <w:bCs/>
          <w:color w:val="111111"/>
          <w:sz w:val="26"/>
          <w:szCs w:val="26"/>
        </w:rPr>
        <w:t xml:space="preserve">5.  Integration and Path Dependence</w:t>
      </w:r>
    </w:p>
    <w:p>
      <w:pPr>
        <w:spacing w:after="180" w:before="0"/>
        <w:jc w:val="both"/>
      </w:pPr>
      <w:r>
        <w:rPr>
          <w:rFonts w:ascii="Georgia" w:cs="Georgia" w:eastAsia="Georgia" w:hAnsi="Georgia"/>
          <w:sz w:val="22"/>
          <w:szCs w:val="22"/>
        </w:rPr>
        <w:t xml:space="preserve">The integral of Vec3 over an observation history is the accumulated epistemic trajectory — the path through [−1, +1]³. What is being accumulated is a sequence of directional statistics: Vec3 deltas per action, weighted by recency and signal quality. The running mean of these deltas is a normalized trajectory integral — the integral divided by n — capturing average directional tendency without preserving the full path geometry.</w:t>
      </w:r>
    </w:p>
    <w:p>
      <w:pPr>
        <w:spacing w:after="180" w:before="0"/>
        <w:jc w:val="both"/>
      </w:pPr>
      <w:r>
        <w:rPr>
          <w:rFonts w:ascii="Georgia" w:cs="Georgia" w:eastAsia="Georgia" w:hAnsi="Georgia"/>
          <w:sz w:val="22"/>
          <w:szCs w:val="22"/>
        </w:rPr>
        <w:t xml:space="preserve">The critical question is whether the Vec3 field over action space is conservative (path-independent, curl = 0 everywhere) or non-conservative. In a conservative field, total epistemic progress between any two states depends only on those states, not on the sequence of actions taken. The non-commutativity of action matrices (§3.2) is the algebraic guarantee that the field can be non-conservative: if M₁M₂ ≠ M₂M₁, then applying actions in different orders produces different final states, which is precisely what a non-conservative field requires. Path dependence follows from the structure of the transforms; it is not an additional assumption. The Cauchy integral theorem (§6.3) provides the complex-analytic certificate: a holomorphic function integrated over any closed contour gives zero; a nonzero closed-loop test (§4.3) certifies non-conservativity.</w:t>
      </w:r>
    </w:p>
    <w:p>
      <w:pPr>
        <w:spacing w:after="180" w:before="0"/>
        <w:jc w:val="both"/>
      </w:pPr>
      <w:r>
        <w:rPr>
          <w:rFonts w:ascii="Georgia" w:cs="Georgia" w:eastAsia="Georgia" w:hAnsi="Georgia"/>
          <w:sz w:val="22"/>
          <w:szCs w:val="22"/>
        </w:rPr>
        <w:t xml:space="preserve">Non-conservativity has a direct practical consequence: an inquiry history that passed through a region of negative V before recovering may carry directional knowledge accumulated against a broken reference frame. Those directional estimates cannot be distinguished from valid ones by inspecting the current state alone. The full trajectory record is the only instrument for identifying and down-weighting observation segments accumulated during validity collapse — the endpoint alone is insufficient.</w:t>
      </w:r>
    </w:p>
    <w:p>
      <w:pPr>
        <w:pStyle w:val="Heading2"/>
        <w:spacing w:after="100" w:before="280"/>
      </w:pPr>
      <w:r>
        <w:rPr>
          <w:rFonts w:ascii="Georgia" w:cs="Georgia" w:eastAsia="Georgia" w:hAnsi="Georgia"/>
          <w:b/>
          <w:bCs/>
          <w:color w:val="333333"/>
          <w:sz w:val="22"/>
          <w:szCs w:val="22"/>
        </w:rPr>
        <w:t xml:space="preserve">5.1  Epistemic entropy</w:t>
      </w:r>
    </w:p>
    <w:p>
      <w:pPr>
        <w:spacing w:after="180" w:before="0"/>
        <w:jc w:val="both"/>
      </w:pPr>
      <w:r>
        <w:rPr>
          <w:rFonts w:ascii="Georgia" w:cs="Georgia" w:eastAsia="Georgia" w:hAnsi="Georgia"/>
          <w:sz w:val="22"/>
          <w:szCs w:val="22"/>
        </w:rPr>
        <w:t xml:space="preserve">A natural scalar complement to Vec3 endpoints is entropy over the trajectory. A clean path through high-R, high-V territory has low entropy: directional estimates are well-calibrated and accumulated knowledge reflects genuine causal structure. A noisy path through V-collapse and R-degradation episodes has high entropy: accumulated directional estimates mix valid and invalid periods.</w:t>
      </w:r>
    </w:p>
    <w:p>
      <w:pPr>
        <w:spacing w:after="180" w:before="0"/>
        <w:jc w:val="both"/>
      </w:pPr>
      <w:r>
        <w:rPr>
          <w:rFonts w:ascii="Georgia" w:cs="Georgia" w:eastAsia="Georgia" w:hAnsi="Georgia"/>
          <w:sz w:val="22"/>
          <w:szCs w:val="22"/>
        </w:rPr>
        <w:t xml:space="preserve">Two candidate formalizations. Total variation of the Vec3 trajectory:</w:t>
      </w:r>
    </w:p>
    <w:p>
      <w:pPr>
        <w:spacing w:after="80" w:before="80"/>
        <w:ind w:left="640"/>
      </w:pPr>
      <w:r>
        <w:rPr>
          <w:rFonts w:ascii="Courier New" w:cs="Courier New" w:eastAsia="Courier New" w:hAnsi="Courier New"/>
          <w:color w:val="222222"/>
          <w:sz w:val="20"/>
          <w:szCs w:val="20"/>
        </w:rPr>
        <w:t xml:space="preserve">TV = Σₙ |v(n+1) − v(n)|</w:t>
      </w:r>
    </w:p>
    <w:p>
      <w:pPr>
        <w:spacing w:after="180" w:before="0"/>
        <w:jc w:val="both"/>
      </w:pPr>
      <w:r>
        <w:rPr>
          <w:rFonts w:ascii="Georgia" w:cs="Georgia" w:eastAsia="Georgia" w:hAnsi="Georgia"/>
          <w:sz w:val="22"/>
          <w:szCs w:val="22"/>
        </w:rPr>
        <w:t xml:space="preserve">measures oscillation en route to the endpoint — how much the path wandered relative to its net displacement. Information-theoretic entropy of the distribution of outcome types over the trajectory: a history of uniform Clean Pass outcomes has low entropy; one mixing Pyrrhic, Goodhart, Orthogonal, and Catastrophe outcomes has high entropy. Either formalization would provide a principled basis for down-weighting high-entropy trajectory segments when consulting accumulated directional knowledge.</w:t>
      </w:r>
    </w:p>
    <w:p>
      <w:pPr>
        <w:pStyle w:val="Heading2"/>
        <w:spacing w:after="100" w:before="280"/>
      </w:pPr>
      <w:r>
        <w:rPr>
          <w:rFonts w:ascii="Georgia" w:cs="Georgia" w:eastAsia="Georgia" w:hAnsi="Georgia"/>
          <w:b/>
          <w:bCs/>
          <w:color w:val="333333"/>
          <w:sz w:val="22"/>
          <w:szCs w:val="22"/>
        </w:rPr>
        <w:t xml:space="preserve">5.2  Coverage as volume integral</w:t>
      </w:r>
    </w:p>
    <w:p>
      <w:pPr>
        <w:spacing w:after="180" w:before="0"/>
        <w:jc w:val="both"/>
      </w:pPr>
      <w:r>
        <w:rPr>
          <w:rFonts w:ascii="Georgia" w:cs="Georgia" w:eastAsia="Georgia" w:hAnsi="Georgia"/>
          <w:sz w:val="22"/>
          <w:szCs w:val="22"/>
        </w:rPr>
        <w:t xml:space="preserve">The volume integral over the reachable region of Vec3 space, weighted by observation density, gives epistemic coverage:</w:t>
      </w:r>
    </w:p>
    <w:p>
      <w:pPr>
        <w:spacing w:after="80" w:before="80"/>
        <w:ind w:left="640"/>
      </w:pPr>
      <w:r>
        <w:rPr>
          <w:rFonts w:ascii="Courier New" w:cs="Courier New" w:eastAsia="Courier New" w:hAnsi="Courier New"/>
          <w:color w:val="222222"/>
          <w:sz w:val="20"/>
          <w:szCs w:val="20"/>
        </w:rPr>
        <w:t xml:space="preserve">Coverage = ∫∫∫ ρ(T,R,V) dT dR dV</w:t>
      </w:r>
    </w:p>
    <w:p>
      <w:pPr>
        <w:spacing w:after="180" w:before="0"/>
        <w:jc w:val="both"/>
      </w:pPr>
      <w:r>
        <w:rPr>
          <w:rFonts w:ascii="Georgia" w:cs="Georgia" w:eastAsia="Georgia" w:hAnsi="Georgia"/>
          <w:sz w:val="22"/>
          <w:szCs w:val="22"/>
        </w:rPr>
        <w:t xml:space="preserve">where ρ is the density of observations at each point. A history with high final T but all observations clustered in the same (T, R, V) neighbourhood has low epistemic volume despite apparent success — the geometric counterpart of a Goodhart dynamic operating at the history level: activity growing without expanding the explored space. Coverage as a volume integral distinguishes an inquiry that has genuinely explored multiple regions from one that has orbited a single attractor.</w:t>
      </w:r>
    </w:p>
    <w:p>
      <w:pPr>
        <w:pStyle w:val="Heading2"/>
        <w:spacing w:after="100" w:before="280"/>
      </w:pPr>
      <w:r>
        <w:rPr>
          <w:rFonts w:ascii="Georgia" w:cs="Georgia" w:eastAsia="Georgia" w:hAnsi="Georgia"/>
          <w:b/>
          <w:bCs/>
          <w:color w:val="333333"/>
          <w:sz w:val="22"/>
          <w:szCs w:val="22"/>
        </w:rPr>
        <w:t xml:space="preserve">5.3  Two-dimensional projections</w:t>
      </w:r>
    </w:p>
    <w:p>
      <w:pPr>
        <w:spacing w:after="180" w:before="0"/>
        <w:jc w:val="both"/>
      </w:pPr>
      <w:r>
        <w:rPr>
          <w:rFonts w:ascii="Georgia" w:cs="Georgia" w:eastAsia="Georgia" w:hAnsi="Georgia"/>
          <w:sz w:val="22"/>
          <w:szCs w:val="22"/>
        </w:rPr>
        <w:t xml:space="preserve">The three coordinate planes of Vec3 are failure lenses — projections that suppress one axis to isolate a specific epistemic tension. Each plane corresponds to a distinct class of observable failure.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c>
          <w:tcPr>
            <w:tcW w:type="dxa" w:w="16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Plane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Axis dropped</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Question isolated</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Failure mode detected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Is the result genuine or internally fragile?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Pyrrhic pass, Broken failure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Is the right problem being 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Goodhart pass, Orthogonal result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Can the evidence be trusted at 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Evaluation collapse</w:t>
            </w:r>
          </w:p>
        </w:tc>
      </w:tr>
    </w:tbl>
    <w:p>
      <w:pPr>
        <w:spacing w:after="200" w:before="0"/>
      </w:pPr>
    </w:p>
    <w:p>
      <w:pPr>
        <w:spacing w:after="180" w:before="0"/>
        <w:jc w:val="both"/>
      </w:pPr>
      <w:r>
        <w:rPr>
          <w:rFonts w:ascii="Georgia" w:cs="Georgia" w:eastAsia="Georgia" w:hAnsi="Georgia"/>
          <w:sz w:val="22"/>
          <w:szCs w:val="22"/>
        </w:rPr>
        <w:t xml:space="preserve">Dropping V from the (T, R) plane makes Orthogonal results and evaluation collapse invisible. Dropping R from the (T, V) plane makes Pyrrhic and Broken failures invisible. Collapsing to the T axis alone — scalar evaluation — makes all five non-binary failure modes invisible simultaneously. The structure that generates these failure modes exists in the full three-dimensional space; it disappears not because it ceases to operate but because the coordinate system discards the dimensions needed to see it.</w:t>
      </w:r>
    </w:p>
    <w:p>
      <w:pPr>
        <w:pStyle w:val="Heading2"/>
        <w:spacing w:after="100" w:before="280"/>
      </w:pPr>
      <w:r>
        <w:rPr>
          <w:rFonts w:ascii="Georgia" w:cs="Georgia" w:eastAsia="Georgia" w:hAnsi="Georgia"/>
          <w:b/>
          <w:bCs/>
          <w:color w:val="333333"/>
          <w:sz w:val="22"/>
          <w:szCs w:val="22"/>
        </w:rPr>
        <w:t xml:space="preserve">5.4  Vector fields and attractors</w:t>
      </w:r>
    </w:p>
    <w:p>
      <w:pPr>
        <w:spacing w:after="180" w:before="0"/>
        <w:jc w:val="both"/>
      </w:pPr>
      <w:r>
        <w:rPr>
          <w:rFonts w:ascii="Georgia" w:cs="Georgia" w:eastAsia="Georgia" w:hAnsi="Georgia"/>
          <w:sz w:val="22"/>
          <w:szCs w:val="22"/>
        </w:rPr>
        <w:t xml:space="preserve">In each 2D projection, the Vec3 field defines a vector field over action space: at every point in the plane, a vector describes where the state moves next under typical actions. The fixed points of this field are the equilibria; their stability determines whether nearby trajectories converge or diverge.</w:t>
      </w:r>
    </w:p>
    <w:p>
      <w:pPr>
        <w:spacing w:after="180" w:before="0"/>
        <w:jc w:val="both"/>
      </w:pPr>
      <w:r>
        <w:rPr>
          <w:rFonts w:ascii="Georgia" w:cs="Georgia" w:eastAsia="Georgia" w:hAnsi="Georgia"/>
          <w:sz w:val="22"/>
          <w:szCs w:val="22"/>
        </w:rPr>
        <w:t xml:space="preserve">In the (T, V) plane, the Goodhart basin is a locally stable fixed point at high T, low V — and from §3.3, it is the eigenvector direction with λ &gt; 1 under the criterion-optimizing action transform. Escaping it requires accepting a short-term T loss to restore V, an action the T gradient opposes. This is the precise sense in which Goodhart is not a threshold condition but a geometric attractor: the action that most improves T is the action that most strengthens the force pulling toward the Goodhart direction.</w:t>
      </w:r>
    </w:p>
    <w:p>
      <w:pPr>
        <w:spacing w:after="180" w:before="0"/>
        <w:jc w:val="both"/>
      </w:pPr>
      <w:r>
        <w:rPr>
          <w:rFonts w:ascii="Georgia" w:cs="Georgia" w:eastAsia="Georgia" w:hAnsi="Georgia"/>
          <w:sz w:val="22"/>
          <w:szCs w:val="22"/>
        </w:rPr>
        <w:t xml:space="preserve">The curl of the (T, R) vector field being nonzero in a region indicates cyclic behaviour — improving T by an action that degrades R, recovering R by an action that degrades T, looping without net progress. The commutator [M_T-improve, M_R-recover] produces this: when the two recovery actions do not commute, each application of the recovery cycle leaves the system in a different state than before, and the trajectory spirals rather than converges.</w:t>
      </w:r>
    </w:p>
    <w:p>
      <w:pPr>
        <w:spacing w:after="80" w:before="0"/>
      </w:pPr>
    </w:p>
    <w:p>
      <w:pPr>
        <w:pStyle w:val="Heading1"/>
        <w:spacing w:after="160" w:before="400"/>
      </w:pPr>
      <w:r>
        <w:rPr>
          <w:rFonts w:ascii="Georgia" w:cs="Georgia" w:eastAsia="Georgia" w:hAnsi="Georgia"/>
          <w:b/>
          <w:bCs/>
          <w:color w:val="111111"/>
          <w:sz w:val="26"/>
          <w:szCs w:val="26"/>
        </w:rPr>
        <w:t xml:space="preserve">6.  Complex Embedding</w:t>
      </w:r>
    </w:p>
    <w:p>
      <w:pPr>
        <w:spacing w:after="180" w:before="0"/>
        <w:jc w:val="both"/>
      </w:pPr>
      <w:r>
        <w:rPr>
          <w:rFonts w:ascii="Georgia" w:cs="Georgia" w:eastAsia="Georgia" w:hAnsi="Georgia"/>
          <w:i/>
          <w:iCs/>
          <w:color w:val="555555"/>
          <w:sz w:val="22"/>
          <w:szCs w:val="22"/>
        </w:rPr>
        <w:t xml:space="preserve">What follows assumes smooth continuous mappings over what is in practice a discrete bounded system. Sections 6.1–6.2 and 6.4–6.5 are tied to computable quantities. Section 6.3 (residues and winding number) is included as structural motivation rather than current implementation and is marked accordingly.</w:t>
      </w:r>
    </w:p>
    <w:p>
      <w:pPr>
        <w:spacing w:after="80" w:before="0"/>
      </w:pPr>
    </w:p>
    <w:p>
      <w:pPr>
        <w:spacing w:after="180" w:before="0"/>
        <w:jc w:val="both"/>
      </w:pPr>
      <w:r>
        <w:rPr>
          <w:rFonts w:ascii="Georgia" w:cs="Georgia" w:eastAsia="Georgia" w:hAnsi="Georgia"/>
          <w:sz w:val="22"/>
          <w:szCs w:val="22"/>
        </w:rPr>
        <w:t xml:space="preserve">Pairing z = T + iR is not arbitrary. T and R are the two axes that interact most intimately: a Pyrrhic pass is precisely Re(z) &gt; 0, Im(z) &lt; 0; a Broken Failure is Re(z) &lt; 0, Im(z) &lt; 0. The real line is the axis of pure criterion satisfaction; the imaginary axis is the axis of pure internal coherence; the four quadrants map onto the four classical truth-value positions: true (upper-right), false (lower-left), both-true-and-false (lower-right, satisfying but incoherent), neither (approached as V → 0).</w:t>
      </w:r>
    </w:p>
    <w:p>
      <w:pPr>
        <w:spacing w:after="180" w:before="0"/>
        <w:jc w:val="both"/>
      </w:pPr>
      <w:r>
        <w:rPr>
          <w:rFonts w:ascii="Georgia" w:cs="Georgia" w:eastAsia="Georgia" w:hAnsi="Georgia"/>
          <w:sz w:val="22"/>
          <w:szCs w:val="22"/>
        </w:rPr>
        <w:t xml:space="preserve">V does not pair with either T or R. It is a real-valued gate on the complex state:</w:t>
      </w:r>
    </w:p>
    <w:p>
      <w:pPr>
        <w:spacing w:after="80" w:before="80"/>
        <w:ind w:left="640"/>
      </w:pPr>
      <w:r>
        <w:rPr>
          <w:rFonts w:ascii="Courier New" w:cs="Courier New" w:eastAsia="Courier New" w:hAnsi="Courier New"/>
          <w:color w:val="222222"/>
          <w:sz w:val="20"/>
          <w:szCs w:val="20"/>
        </w:rPr>
        <w:t xml:space="preserve">w = V · z = V(T + iR)</w:t>
      </w:r>
    </w:p>
    <w:p>
      <w:pPr>
        <w:spacing w:after="180" w:before="0"/>
        <w:jc w:val="both"/>
      </w:pPr>
      <w:r>
        <w:rPr>
          <w:rFonts w:ascii="Georgia" w:cs="Georgia" w:eastAsia="Georgia" w:hAnsi="Georgia"/>
          <w:sz w:val="22"/>
          <w:szCs w:val="22"/>
        </w:rPr>
        <w:t xml:space="preserve">V &gt; 0 scales the complex state meaningfully. V → 0 collapses w to zero regardless of z — the correct algebraic behaviour, since an incomparable result carries no epistemic content regardless of its T and R values. V &lt; 0 inverts the effective state, anti-correlating it with the true epistemic situation. The gating behaviour makes precise what the Orthogonal region means in complex terms: it is not that z is undefined, but that z is multiplied to zero by V, erasing whatever information T and R carry.</w:t>
      </w:r>
    </w:p>
    <w:p>
      <w:pPr>
        <w:pStyle w:val="Heading2"/>
        <w:spacing w:after="100" w:before="280"/>
      </w:pPr>
      <w:r>
        <w:rPr>
          <w:rFonts w:ascii="Georgia" w:cs="Georgia" w:eastAsia="Georgia" w:hAnsi="Georgia"/>
          <w:b/>
          <w:bCs/>
          <w:color w:val="333333"/>
          <w:sz w:val="22"/>
          <w:szCs w:val="22"/>
        </w:rPr>
        <w:t xml:space="preserve">6.1  Phase as epistemic orientation</w:t>
      </w:r>
    </w:p>
    <w:p>
      <w:pPr>
        <w:spacing w:after="180" w:before="0"/>
        <w:jc w:val="both"/>
      </w:pPr>
      <w:r>
        <w:rPr>
          <w:rFonts w:ascii="Georgia" w:cs="Georgia" w:eastAsia="Georgia" w:hAnsi="Georgia"/>
          <w:sz w:val="22"/>
          <w:szCs w:val="22"/>
        </w:rPr>
        <w:t xml:space="preserve">The argument arg(z) = arctan(R/T) is the epistemic phase — the orientation of the current state in the T-R plane.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arg(z)</w:t>
            </w:r>
          </w:p>
        </w:tc>
        <w:tc>
          <w:tcPr>
            <w:tcW w:type="dxa" w:w="736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Epistemic 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Pure T — criterion signal with no internal coherence component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90°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Pure R — internally coherent but no criterion signal; calibration territory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−45°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Equal T and R degradation — Pyrrhic approach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180°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Both axes inverted — Broken Failure or Catastrophe direction</w:t>
            </w:r>
          </w:p>
        </w:tc>
      </w:tr>
    </w:tbl>
    <w:p>
      <w:pPr>
        <w:spacing w:after="200" w:before="0"/>
      </w:pPr>
    </w:p>
    <w:p>
      <w:pPr>
        <w:spacing w:after="180" w:before="0"/>
        <w:jc w:val="both"/>
      </w:pPr>
      <w:r>
        <w:rPr>
          <w:rFonts w:ascii="Georgia" w:cs="Georgia" w:eastAsia="Georgia" w:hAnsi="Georgia"/>
          <w:sz w:val="22"/>
          <w:szCs w:val="22"/>
        </w:rPr>
        <w:t xml:space="preserve">The rate of change d(arg(z))/dn is computable from any sequence of Vec3 states and is an earlier warning signal than raw axis values: a trajectory where phase is drifting toward the imaginary axis is approaching the Pyrrhic or Goodhart region before either axis crosses a detection threshold.</w:t>
      </w:r>
    </w:p>
    <w:p>
      <w:pPr>
        <w:spacing w:after="180" w:before="0"/>
        <w:jc w:val="both"/>
      </w:pPr>
      <w:r>
        <w:rPr>
          <w:rFonts w:ascii="Georgia" w:cs="Georgia" w:eastAsia="Georgia" w:hAnsi="Georgia"/>
          <w:sz w:val="22"/>
          <w:szCs w:val="22"/>
        </w:rPr>
        <w:t xml:space="preserve">The complex logarithm</w:t>
      </w:r>
    </w:p>
    <w:p>
      <w:pPr>
        <w:spacing w:after="80" w:before="80"/>
        <w:ind w:left="640"/>
      </w:pPr>
      <w:r>
        <w:rPr>
          <w:rFonts w:ascii="Courier New" w:cs="Courier New" w:eastAsia="Courier New" w:hAnsi="Courier New"/>
          <w:color w:val="222222"/>
          <w:sz w:val="20"/>
          <w:szCs w:val="20"/>
        </w:rPr>
        <w:t xml:space="preserve">log(z) = log|z| + i · arg(z)</w:t>
      </w:r>
    </w:p>
    <w:p>
      <w:pPr>
        <w:spacing w:after="180" w:before="0"/>
        <w:jc w:val="both"/>
      </w:pPr>
      <w:r>
        <w:rPr>
          <w:rFonts w:ascii="Georgia" w:cs="Georgia" w:eastAsia="Georgia" w:hAnsi="Georgia"/>
          <w:sz w:val="22"/>
          <w:szCs w:val="22"/>
        </w:rPr>
        <w:t xml:space="preserve">separates two quantities that raw Vec3 conflates: how much signal strength has accumulated (Re(log z) = log|z|), and where inquiry is currently oriented (Im(log z) = arg(z)). Accumulated directional knowledge in any implementation currently approximates Re(log z) — it tracks magnitude growth while discarding directional history. Tracking the full complex log would distinguish genuine convergence (log|z| growing, arg(z) stabilizing) from apparent convergence that is actually rotational drift at constant magnitude (log|z| flat, arg(z) changing) — the log-domain signature of a cycling failure before it triggers time-domain detection.</w:t>
      </w:r>
    </w:p>
    <w:p>
      <w:pPr>
        <w:pStyle w:val="Heading2"/>
        <w:spacing w:after="100" w:before="280"/>
      </w:pPr>
      <w:r>
        <w:rPr>
          <w:rFonts w:ascii="Georgia" w:cs="Georgia" w:eastAsia="Georgia" w:hAnsi="Georgia"/>
          <w:b/>
          <w:bCs/>
          <w:color w:val="333333"/>
          <w:sz w:val="22"/>
          <w:szCs w:val="22"/>
        </w:rPr>
        <w:t xml:space="preserve">6.2  Multiplication, composition, and inner products</w:t>
      </w:r>
    </w:p>
    <w:p>
      <w:pPr>
        <w:spacing w:after="180" w:before="0"/>
        <w:jc w:val="both"/>
      </w:pPr>
      <w:r>
        <w:rPr>
          <w:rFonts w:ascii="Georgia" w:cs="Georgia" w:eastAsia="Georgia" w:hAnsi="Georgia"/>
          <w:sz w:val="22"/>
          <w:szCs w:val="22"/>
        </w:rPr>
        <w:t xml:space="preserve">Multiplication by e^{iφ} rotates z through angle φ without changing |z| — a rotational action rebalances the T-R distribution without changing total signal strength. The rotation matrix from §3.1 is the real representation of this complex multiplication.</w:t>
      </w:r>
    </w:p>
    <w:p>
      <w:pPr>
        <w:spacing w:after="180" w:before="0"/>
        <w:jc w:val="both"/>
      </w:pPr>
      <w:r>
        <w:rPr>
          <w:rFonts w:ascii="Georgia" w:cs="Georgia" w:eastAsia="Georgia" w:hAnsi="Georgia"/>
          <w:sz w:val="22"/>
          <w:szCs w:val="22"/>
        </w:rPr>
        <w:t xml:space="preserve">Composition of two complex states:</w:t>
      </w:r>
    </w:p>
    <w:p>
      <w:pPr>
        <w:spacing w:after="80" w:before="80"/>
        <w:ind w:left="640"/>
      </w:pPr>
      <w:r>
        <w:rPr>
          <w:rFonts w:ascii="Courier New" w:cs="Courier New" w:eastAsia="Courier New" w:hAnsi="Courier New"/>
          <w:color w:val="222222"/>
          <w:sz w:val="20"/>
          <w:szCs w:val="20"/>
        </w:rPr>
        <w:t xml:space="preserve">z₁ · z₂ = (T₁T₂ − R₁R₂) + i(T₁R₂ + R₁T₂)</w:t>
      </w:r>
    </w:p>
    <w:p>
      <w:pPr>
        <w:spacing w:after="180" w:before="0"/>
        <w:jc w:val="both"/>
      </w:pPr>
      <w:r>
        <w:rPr>
          <w:rFonts w:ascii="Georgia" w:cs="Georgia" w:eastAsia="Georgia" w:hAnsi="Georgia"/>
          <w:sz w:val="22"/>
          <w:szCs w:val="22"/>
        </w:rPr>
        <w:t xml:space="preserve">accumulates both direct criterion agreement and cross-coherence. The inner product</w:t>
      </w:r>
    </w:p>
    <w:p>
      <w:pPr>
        <w:spacing w:after="80" w:before="80"/>
        <w:ind w:left="640"/>
      </w:pPr>
      <w:r>
        <w:rPr>
          <w:rFonts w:ascii="Courier New" w:cs="Courier New" w:eastAsia="Courier New" w:hAnsi="Courier New"/>
          <w:color w:val="222222"/>
          <w:sz w:val="20"/>
          <w:szCs w:val="20"/>
        </w:rPr>
        <w:t xml:space="preserve">Re(z₁ · z̄₂) = T₁T₂ + R₁R₂</w:t>
      </w:r>
    </w:p>
    <w:p>
      <w:pPr>
        <w:spacing w:after="180" w:before="0"/>
        <w:jc w:val="both"/>
      </w:pPr>
      <w:r>
        <w:rPr>
          <w:rFonts w:ascii="Georgia" w:cs="Georgia" w:eastAsia="Georgia" w:hAnsi="Georgia"/>
          <w:sz w:val="22"/>
          <w:szCs w:val="22"/>
        </w:rPr>
        <w:t xml:space="preserve">is the total epistemic agreement between two states — the complex form of the dot product from §2.5, combining criterion and coherence agreement into a single signed scalar. The cross product</w:t>
      </w:r>
    </w:p>
    <w:p>
      <w:pPr>
        <w:spacing w:after="80" w:before="80"/>
        <w:ind w:left="640"/>
      </w:pPr>
      <w:r>
        <w:rPr>
          <w:rFonts w:ascii="Courier New" w:cs="Courier New" w:eastAsia="Courier New" w:hAnsi="Courier New"/>
          <w:color w:val="222222"/>
          <w:sz w:val="20"/>
          <w:szCs w:val="20"/>
        </w:rPr>
        <w:t xml:space="preserve">Im(z₁ · z̄₂) = T₁R₂ − R₁T₂</w:t>
      </w:r>
    </w:p>
    <w:p>
      <w:pPr>
        <w:spacing w:after="180" w:before="0"/>
        <w:jc w:val="both"/>
      </w:pPr>
      <w:r>
        <w:rPr>
          <w:rFonts w:ascii="Georgia" w:cs="Georgia" w:eastAsia="Georgia" w:hAnsi="Georgia"/>
          <w:sz w:val="22"/>
          <w:szCs w:val="22"/>
        </w:rPr>
        <w:t xml:space="preserve">is the signed area between the two epistemic orientations: positive when the second state has rotated counter-clockwise relative to the first, negative when clockwise. Both are computable from any pair of Vec3 states.</w:t>
      </w:r>
    </w:p>
    <w:p>
      <w:pPr>
        <w:pStyle w:val="Heading2"/>
        <w:spacing w:after="100" w:before="280"/>
      </w:pPr>
      <w:r>
        <w:rPr>
          <w:rFonts w:ascii="Georgia" w:cs="Georgia" w:eastAsia="Georgia" w:hAnsi="Georgia"/>
          <w:b/>
          <w:bCs/>
          <w:color w:val="333333"/>
          <w:sz w:val="22"/>
          <w:szCs w:val="22"/>
        </w:rPr>
        <w:t xml:space="preserve">6.3  Residues, poles, and winding number</w:t>
      </w:r>
    </w:p>
    <w:p>
      <w:pPr>
        <w:spacing w:after="180" w:before="0"/>
        <w:jc w:val="both"/>
      </w:pPr>
      <w:r>
        <w:rPr>
          <w:rFonts w:ascii="Georgia" w:cs="Georgia" w:eastAsia="Georgia" w:hAnsi="Georgia"/>
          <w:i/>
          <w:iCs/>
          <w:color w:val="555555"/>
          <w:sz w:val="22"/>
          <w:szCs w:val="22"/>
        </w:rPr>
        <w:t xml:space="preserve">Future formalization. The quantities below are not currently tied to computable implementations; they are included because they give the correct structural account of validity collapse and Goodhart entrenchment.</w:t>
      </w:r>
    </w:p>
    <w:p>
      <w:pPr>
        <w:spacing w:after="180" w:before="0"/>
        <w:jc w:val="both"/>
      </w:pPr>
      <w:r>
        <w:rPr>
          <w:rFonts w:ascii="Georgia" w:cs="Georgia" w:eastAsia="Georgia" w:hAnsi="Georgia"/>
          <w:sz w:val="22"/>
          <w:szCs w:val="22"/>
        </w:rPr>
        <w:t xml:space="preserve">V approaching zero corresponds to a pole in the complex formalism: at V = 0, the effective state w = V · z collapses regardless of z. Near this pole the function behaves as w ~ V⁻¹ — small changes in V produce large swings in the effective epistemic state. The residue at the V = 0 pole:</w:t>
      </w:r>
    </w:p>
    <w:p>
      <w:pPr>
        <w:spacing w:after="80" w:before="80"/>
        <w:ind w:left="640"/>
      </w:pPr>
      <w:r>
        <w:rPr>
          <w:rFonts w:ascii="Courier New" w:cs="Courier New" w:eastAsia="Courier New" w:hAnsi="Courier New"/>
          <w:color w:val="222222"/>
          <w:sz w:val="20"/>
          <w:szCs w:val="20"/>
        </w:rPr>
        <w:t xml:space="preserve">Res(w, V=0) = lim_{V→0} V · w = z</w:t>
      </w:r>
    </w:p>
    <w:p>
      <w:pPr>
        <w:spacing w:after="180" w:before="0"/>
        <w:jc w:val="both"/>
      </w:pPr>
      <w:r>
        <w:rPr>
          <w:rFonts w:ascii="Georgia" w:cs="Georgia" w:eastAsia="Georgia" w:hAnsi="Georgia"/>
          <w:sz w:val="22"/>
          <w:szCs w:val="22"/>
        </w:rPr>
        <w:t xml:space="preserve">quantifies the information surviving validity collapse — how much of the T-R signal structure remained in the field immediately before the reference frame was lost. A large residue means the collapse route is recoverable from the trajectory; a zero residue means the collapse was catastrophic and the prior epistemic orientation left no trace. This is the complex-analytic form of the irreversibility established in §3.4.</w:t>
      </w:r>
    </w:p>
    <w:p>
      <w:pPr>
        <w:spacing w:after="180" w:before="0"/>
        <w:jc w:val="both"/>
      </w:pPr>
      <w:r>
        <w:rPr>
          <w:rFonts w:ascii="Georgia" w:cs="Georgia" w:eastAsia="Georgia" w:hAnsi="Georgia"/>
          <w:sz w:val="22"/>
          <w:szCs w:val="22"/>
        </w:rPr>
        <w:t xml:space="preserve">The winding number of an inquiry trajectory around the Goodhart basin — the number of times the trajectory orbits the region of high-T, high-R, low-genuine-improvement — counts the depth of entrenchment. A non-conservative field (§5) can have nonzero winding numbers; a holomorphic field cannot. The winding number provides a topological invariant of the entrenchment that the scalar depth-of-attractor cannot capture: two trajectories with the same current T may have winding numbers of 0 and 3, implying qualitatively different recovery paths.</w:t>
      </w:r>
    </w:p>
    <w:p>
      <w:pPr>
        <w:pStyle w:val="Heading2"/>
        <w:spacing w:after="100" w:before="280"/>
      </w:pPr>
      <w:r>
        <w:rPr>
          <w:rFonts w:ascii="Georgia" w:cs="Georgia" w:eastAsia="Georgia" w:hAnsi="Georgia"/>
          <w:b/>
          <w:bCs/>
          <w:color w:val="333333"/>
          <w:sz w:val="22"/>
          <w:szCs w:val="22"/>
        </w:rPr>
        <w:t xml:space="preserve">6.4  Holomorphicity and Wirtinger decomposition</w:t>
      </w:r>
    </w:p>
    <w:p>
      <w:pPr>
        <w:spacing w:after="180" w:before="0"/>
        <w:jc w:val="both"/>
      </w:pPr>
      <w:r>
        <w:rPr>
          <w:rFonts w:ascii="Georgia" w:cs="Georgia" w:eastAsia="Georgia" w:hAnsi="Georgia"/>
          <w:sz w:val="22"/>
          <w:szCs w:val="22"/>
        </w:rPr>
        <w:t xml:space="preserve">If the mapping from action parameter a to epistemic outcome f(a) = T(a) + iR(a) is treated as a complex function, it is holomorphic precisely when the Cauchy-Riemann conditions hold:</w:t>
      </w:r>
    </w:p>
    <w:p>
      <w:pPr>
        <w:spacing w:after="28" w:before="28"/>
        <w:ind w:left="640"/>
      </w:pPr>
      <w:r>
        <w:rPr>
          <w:rFonts w:ascii="Courier New" w:cs="Courier New" w:eastAsia="Courier New" w:hAnsi="Courier New"/>
          <w:color w:val="222222"/>
          <w:sz w:val="20"/>
          <w:szCs w:val="20"/>
        </w:rPr>
        <w:t xml:space="preserve">∂T/∂a_re =  ∂R/∂a_im</w:t>
      </w:r>
    </w:p>
    <w:p>
      <w:pPr>
        <w:spacing w:after="28" w:before="28"/>
        <w:ind w:left="640"/>
      </w:pPr>
      <w:r>
        <w:rPr>
          <w:rFonts w:ascii="Courier New" w:cs="Courier New" w:eastAsia="Courier New" w:hAnsi="Courier New"/>
          <w:color w:val="222222"/>
          <w:sz w:val="20"/>
          <w:szCs w:val="20"/>
        </w:rPr>
        <w:t xml:space="preserve">∂T/∂a_im = −∂R/∂a_re</w:t>
      </w:r>
    </w:p>
    <w:p>
      <w:pPr>
        <w:spacing w:after="180" w:before="0"/>
        <w:jc w:val="both"/>
      </w:pPr>
      <w:r>
        <w:rPr>
          <w:rFonts w:ascii="Georgia" w:cs="Georgia" w:eastAsia="Georgia" w:hAnsi="Georgia"/>
          <w:sz w:val="22"/>
          <w:szCs w:val="22"/>
        </w:rPr>
        <w:t xml:space="preserve">A holomorphic mapping means T and R are coupled by a conformal structure: an action that improves T in one direction necessarily shifts R in a predictable, geometry-preserving way. Non-holomorphic mappings violate these conditions, allowing T and R to be moved independently — the algebraic condition under which Pyrrhic passes are structurally possible. Conformal mappings preserve the coupling angle cos(θ_TR) from §2.2; shear transforms (§3.1) are the complex-analytic definition of non-conformal actions.</w:t>
      </w:r>
    </w:p>
    <w:p>
      <w:pPr>
        <w:spacing w:after="180" w:before="0"/>
        <w:jc w:val="both"/>
      </w:pPr>
      <w:r>
        <w:rPr>
          <w:rFonts w:ascii="Georgia" w:cs="Georgia" w:eastAsia="Georgia" w:hAnsi="Georgia"/>
          <w:sz w:val="22"/>
          <w:szCs w:val="22"/>
        </w:rPr>
        <w:t xml:space="preserve">The Wirtinger decomposition splits the gradient over the z-plane into holomorphic and anti-holomorphic components:</w:t>
      </w:r>
    </w:p>
    <w:p>
      <w:pPr>
        <w:spacing w:after="28" w:before="28"/>
        <w:ind w:left="640"/>
      </w:pPr>
      <w:r>
        <w:rPr>
          <w:rFonts w:ascii="Courier New" w:cs="Courier New" w:eastAsia="Courier New" w:hAnsi="Courier New"/>
          <w:color w:val="222222"/>
          <w:sz w:val="20"/>
          <w:szCs w:val="20"/>
        </w:rPr>
        <w:t xml:space="preserve">∂/∂z  = ½(∂/∂T − i ∂/∂R)   ← holomorphic component</w:t>
      </w:r>
    </w:p>
    <w:p>
      <w:pPr>
        <w:spacing w:after="28" w:before="28"/>
        <w:ind w:left="640"/>
      </w:pPr>
      <w:r>
        <w:rPr>
          <w:rFonts w:ascii="Courier New" w:cs="Courier New" w:eastAsia="Courier New" w:hAnsi="Courier New"/>
          <w:color w:val="222222"/>
          <w:sz w:val="20"/>
          <w:szCs w:val="20"/>
        </w:rPr>
        <w:t xml:space="preserve">∂/∂z̄ = ½(∂/∂T + i ∂/∂R)   ← anti-holomorphic component</w:t>
      </w:r>
    </w:p>
    <w:p>
      <w:pPr>
        <w:spacing w:after="180" w:before="0"/>
        <w:jc w:val="both"/>
      </w:pPr>
      <w:r>
        <w:rPr>
          <w:rFonts w:ascii="Georgia" w:cs="Georgia" w:eastAsia="Georgia" w:hAnsi="Georgia"/>
          <w:sz w:val="22"/>
          <w:szCs w:val="22"/>
        </w:rPr>
        <w:t xml:space="preserve">For a loss function L(T, R), if ∂L/∂z̄ = 0 the loss is holomorphic — the criterion gradient and the genuine improvement gradient are aligned. If ∂L/∂z̄ ≠ 0, the anti-holomorphic component is the Goodhart leakage direction: the part of the loss gradient that criterion-optimization can follow while R drifts independently. The magnitude |∂L/∂z̄| is the instantaneous Goodhart pressure at any point in an optimization trajectory — the precise quantity that any Goodhart detection system is approximating when it checks whether R and V have moved beyond threshold. Extending Jacobian estimation (§4.1) to include the anti-holomorphic component would make this quantity directly forecastable.</w:t>
      </w:r>
    </w:p>
    <w:p>
      <w:pPr>
        <w:pStyle w:val="Heading2"/>
        <w:spacing w:after="100" w:before="280"/>
      </w:pPr>
      <w:r>
        <w:rPr>
          <w:rFonts w:ascii="Georgia" w:cs="Georgia" w:eastAsia="Georgia" w:hAnsi="Georgia"/>
          <w:b/>
          <w:bCs/>
          <w:color w:val="333333"/>
          <w:sz w:val="22"/>
          <w:szCs w:val="22"/>
        </w:rPr>
        <w:t xml:space="preserve">6.5  Spectral analysis of epistemic trajectories</w:t>
      </w:r>
    </w:p>
    <w:p>
      <w:pPr>
        <w:spacing w:after="180" w:before="0"/>
        <w:jc w:val="both"/>
      </w:pPr>
      <w:r>
        <w:rPr>
          <w:rFonts w:ascii="Georgia" w:cs="Georgia" w:eastAsia="Georgia" w:hAnsi="Georgia"/>
          <w:sz w:val="22"/>
          <w:szCs w:val="22"/>
        </w:rPr>
        <w:t xml:space="preserve">The observation sequence n = 0, 1, 2, … is a discrete signal. The Discrete Fourier Transform of the complex trajectory z(n) = T(n) + iR(n) decomposes the epistemic history into frequency components:</w:t>
      </w:r>
    </w:p>
    <w:p>
      <w:pPr>
        <w:spacing w:after="80" w:before="80"/>
        <w:ind w:left="640"/>
      </w:pPr>
      <w:r>
        <w:rPr>
          <w:rFonts w:ascii="Courier New" w:cs="Courier New" w:eastAsia="Courier New" w:hAnsi="Courier New"/>
          <w:color w:val="222222"/>
          <w:sz w:val="20"/>
          <w:szCs w:val="20"/>
        </w:rPr>
        <w:t xml:space="preserve">Z(ω) = Σₙ z(n) · e^{−iωn}</w:t>
      </w:r>
    </w:p>
    <w:p>
      <w:pPr>
        <w:spacing w:after="180" w:before="0"/>
        <w:jc w:val="both"/>
      </w:pPr>
      <w:r>
        <w:rPr>
          <w:rFonts w:ascii="Georgia" w:cs="Georgia" w:eastAsia="Georgia" w:hAnsi="Georgia"/>
          <w:sz w:val="22"/>
          <w:szCs w:val="22"/>
        </w:rPr>
        <w:t xml:space="preserve">The power spectrum |Z(ω)|² shows which temporal scales dominate the trajectory. A healthy convergent trajectory is dominated by low frequencies — smooth, monotone improvement — with power decreasing at high ω. A cyclic failure has high power at the period corresponding to its characteristic cycle: the rejection-recovery period, the phase-flip period, or whatever cycle the specific dynamics produce. The DFT identifies this period exactly and can detect the cycling signature before a rolling-window heuristic accumulates sufficient data, because it uses the full history rather than a sliding window.</w:t>
      </w:r>
    </w:p>
    <w:p>
      <w:pPr>
        <w:spacing w:after="180" w:before="0"/>
        <w:jc w:val="both"/>
      </w:pPr>
      <w:r>
        <w:rPr>
          <w:rFonts w:ascii="Georgia" w:cs="Georgia" w:eastAsia="Georgia" w:hAnsi="Georgia"/>
          <w:sz w:val="22"/>
          <w:szCs w:val="22"/>
        </w:rPr>
        <w:t xml:space="preserve">The cross-spectrum between the T and R components at each frequency:</w:t>
      </w:r>
    </w:p>
    <w:p>
      <w:pPr>
        <w:spacing w:after="80" w:before="80"/>
        <w:ind w:left="640"/>
      </w:pPr>
      <w:r>
        <w:rPr>
          <w:rFonts w:ascii="Courier New" w:cs="Courier New" w:eastAsia="Courier New" w:hAnsi="Courier New"/>
          <w:color w:val="222222"/>
          <w:sz w:val="20"/>
          <w:szCs w:val="20"/>
        </w:rPr>
        <w:t xml:space="preserve">S_TR(ω) = Z_T(ω) · Z_R*(ω)</w:t>
      </w:r>
    </w:p>
    <w:p>
      <w:pPr>
        <w:spacing w:after="180" w:before="0"/>
        <w:jc w:val="both"/>
      </w:pPr>
      <w:r>
        <w:rPr>
          <w:rFonts w:ascii="Georgia" w:cs="Georgia" w:eastAsia="Georgia" w:hAnsi="Georgia"/>
          <w:sz w:val="22"/>
          <w:szCs w:val="22"/>
        </w:rPr>
        <w:t xml:space="preserve">measures frequency-specific coupling — whether T and R oscillate together at each timescale. A cross-spectrum peaked at the cycling frequency but near zero at low frequencies means the T-R coupling is pathological rather than structural: present only at the cycling timescale, absent at the convergence timescale where it would reflect genuine epistemic integrity. This decomposition is not available to any heuristic that operates only on recent observations.</w:t>
      </w:r>
    </w:p>
    <w:p>
      <w:pPr>
        <w:spacing w:after="80" w:before="0"/>
      </w:pPr>
    </w:p>
    <w:p>
      <w:pPr>
        <w:pStyle w:val="Heading1"/>
        <w:spacing w:after="160" w:before="400"/>
      </w:pPr>
      <w:r>
        <w:rPr>
          <w:rFonts w:ascii="Georgia" w:cs="Georgia" w:eastAsia="Georgia" w:hAnsi="Georgia"/>
          <w:b/>
          <w:bCs/>
          <w:color w:val="111111"/>
          <w:sz w:val="26"/>
          <w:szCs w:val="26"/>
        </w:rPr>
        <w:t xml:space="preserve">7.  Complex Dynamical Systems</w:t>
      </w:r>
    </w:p>
    <w:p>
      <w:pPr>
        <w:spacing w:after="180" w:before="0"/>
        <w:jc w:val="both"/>
      </w:pPr>
      <w:r>
        <w:rPr>
          <w:rFonts w:ascii="Georgia" w:cs="Georgia" w:eastAsia="Georgia" w:hAnsi="Georgia"/>
          <w:sz w:val="22"/>
          <w:szCs w:val="22"/>
        </w:rPr>
        <w:t xml:space="preserve">The preceding sections treat Vec3 trajectories analytically — paths through a fixed space. The iterative map formalism treats each update as a step of a complex map, characterizing the dynamics of the update rule itself rather than the trajectory it produces. It asks what the update rule does structurally — whether it damps, amplifies, rotates, or locks — rather than what path results.</w:t>
      </w:r>
    </w:p>
    <w:p>
      <w:pPr>
        <w:spacing w:after="180" w:before="0"/>
        <w:jc w:val="both"/>
      </w:pPr>
      <w:r>
        <w:rPr>
          <w:rFonts w:ascii="Georgia" w:cs="Georgia" w:eastAsia="Georgia" w:hAnsi="Georgia"/>
          <w:sz w:val="22"/>
          <w:szCs w:val="22"/>
        </w:rPr>
        <w:t xml:space="preserve">Each update is modeled as:</w:t>
      </w:r>
    </w:p>
    <w:p>
      <w:pPr>
        <w:spacing w:after="80" w:before="80"/>
        <w:ind w:left="640"/>
      </w:pPr>
      <w:r>
        <w:rPr>
          <w:rFonts w:ascii="Courier New" w:cs="Courier New" w:eastAsia="Courier New" w:hAnsi="Courier New"/>
          <w:color w:val="222222"/>
          <w:sz w:val="20"/>
          <w:szCs w:val="20"/>
        </w:rPr>
        <w:t xml:space="preserve">z_{n+1} = F(z_n)</w:t>
      </w:r>
    </w:p>
    <w:p>
      <w:pPr>
        <w:spacing w:after="180" w:before="0"/>
        <w:jc w:val="both"/>
      </w:pPr>
      <w:r>
        <w:rPr>
          <w:rFonts w:ascii="Georgia" w:cs="Georgia" w:eastAsia="Georgia" w:hAnsi="Georgia"/>
          <w:sz w:val="22"/>
          <w:szCs w:val="22"/>
        </w:rPr>
        <w:t xml:space="preserve">where z_n = T(n) + iR(n) and F encodes how an action transforms the current state. Tracking z as a single evolving complex object — rather than T and R as separate scalars — makes the update's amplitude and rotational effects jointly visible. The accumulated running mean of (z_{n+1} − z_n) per action is the system's estimate of F − id: what each action does to the complex epistemic state on average.</w:t>
      </w:r>
    </w:p>
    <w:p>
      <w:pPr>
        <w:pStyle w:val="Heading2"/>
        <w:spacing w:after="100" w:before="280"/>
      </w:pPr>
      <w:r>
        <w:rPr>
          <w:rFonts w:ascii="Georgia" w:cs="Georgia" w:eastAsia="Georgia" w:hAnsi="Georgia"/>
          <w:b/>
          <w:bCs/>
          <w:color w:val="333333"/>
          <w:sz w:val="22"/>
          <w:szCs w:val="22"/>
        </w:rPr>
        <w:t xml:space="preserve">7.1  Linear dynamics and the λ decomposition</w:t>
      </w:r>
    </w:p>
    <w:p>
      <w:pPr>
        <w:spacing w:after="180" w:before="0"/>
        <w:jc w:val="both"/>
      </w:pPr>
      <w:r>
        <w:rPr>
          <w:rFonts w:ascii="Georgia" w:cs="Georgia" w:eastAsia="Georgia" w:hAnsi="Georgia"/>
          <w:sz w:val="22"/>
          <w:szCs w:val="22"/>
        </w:rPr>
        <w:t xml:space="preserve">The simplest case is z_{n+1} = λz_n where λ = r · e^{iθ}. This decomposes each update into two independent effects: r scales the magnitude (signal growth or decay) and θ rotates the orientation (drift in the T-R balance).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|λ| and θ</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Behaviour</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|λ| &lt; 1, θ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Clean convergence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Signal strengthening in a fixed direction; stable attractor approach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|λ| ≈ 1, θ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Pure rotation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Cyclic failure — magnitude constant, orientation cycling without progress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|λ| &lt; 1, θ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Damped spiral inward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Converging with oscillation; improving but with phase noise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|λ| &gt; 1, θ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Divergent spiral outward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Runaway instability — amplitude growing while direction drifts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|λ| &gt; 1, θ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Fixed-axis amplification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Signal strengthening along one direction; Goodhart if that direction is the gaming attractor</w:t>
            </w:r>
          </w:p>
        </w:tc>
      </w:tr>
    </w:tbl>
    <w:p>
      <w:pPr>
        <w:spacing w:after="200" w:before="0"/>
      </w:pPr>
    </w:p>
    <w:p>
      <w:pPr>
        <w:spacing w:after="180" w:before="0"/>
        <w:jc w:val="both"/>
      </w:pPr>
      <w:r>
        <w:rPr>
          <w:rFonts w:ascii="Georgia" w:cs="Georgia" w:eastAsia="Georgia" w:hAnsi="Georgia"/>
          <w:sz w:val="22"/>
          <w:szCs w:val="22"/>
        </w:rPr>
        <w:t xml:space="preserve">The eigenvectors from §3.3 are the fixed-point directions of F when λ = 1: directions the update preserves unchanged. The imaginary part θ is invisible to real linear algebra — it represents the rotational component of the update, the Pyrrhic and Goodhart drift directions that the real Jacobian cannot distinguish from neutral directions. This is precisely why R is an independent axis: it is the observable signal of the rotational component that T alone cannot see. A system tracking only T cannot distinguish |λ| &lt; 1, θ ≈ 0 (clean convergence) from |λ| ≈ 1, θ ≠ 0 (pure rotation without progress); both project to a slowly increasing T.</w:t>
      </w:r>
    </w:p>
    <w:p>
      <w:pPr>
        <w:pStyle w:val="Heading2"/>
        <w:spacing w:after="100" w:before="280"/>
      </w:pPr>
      <w:r>
        <w:rPr>
          <w:rFonts w:ascii="Georgia" w:cs="Georgia" w:eastAsia="Georgia" w:hAnsi="Georgia"/>
          <w:b/>
          <w:bCs/>
          <w:color w:val="333333"/>
          <w:sz w:val="22"/>
          <w:szCs w:val="22"/>
        </w:rPr>
        <w:t xml:space="preserve">7.2  Damping and forcing terms</w:t>
      </w:r>
    </w:p>
    <w:p>
      <w:pPr>
        <w:spacing w:after="180" w:before="0"/>
        <w:jc w:val="both"/>
      </w:pPr>
      <w:r>
        <w:rPr>
          <w:rFonts w:ascii="Georgia" w:cs="Georgia" w:eastAsia="Georgia" w:hAnsi="Georgia"/>
          <w:sz w:val="22"/>
          <w:szCs w:val="22"/>
        </w:rPr>
        <w:t xml:space="preserve">Adding a constant forcing term:</w:t>
      </w:r>
    </w:p>
    <w:p>
      <w:pPr>
        <w:spacing w:after="80" w:before="80"/>
        <w:ind w:left="640"/>
      </w:pPr>
      <w:r>
        <w:rPr>
          <w:rFonts w:ascii="Courier New" w:cs="Courier New" w:eastAsia="Courier New" w:hAnsi="Courier New"/>
          <w:color w:val="222222"/>
          <w:sz w:val="20"/>
          <w:szCs w:val="20"/>
        </w:rPr>
        <w:t xml:space="preserve">z_{n+1} = λz_n + b     →     fixed point z* = b / (1 − λ)  when |λ| &lt; 1</w:t>
      </w:r>
    </w:p>
    <w:p>
      <w:pPr>
        <w:spacing w:after="180" w:before="0"/>
        <w:jc w:val="both"/>
      </w:pPr>
      <w:r>
        <w:rPr>
          <w:rFonts w:ascii="Georgia" w:cs="Georgia" w:eastAsia="Georgia" w:hAnsi="Georgia"/>
          <w:sz w:val="22"/>
          <w:szCs w:val="22"/>
        </w:rPr>
        <w:t xml:space="preserve">introduces two qualitatively distinct classes of intervention. Changing λ modifies the intrinsic dynamics of the update rule — what the update does structurally on each step. Adding b injects a directional correction while leaving the dynamics unchanged — a forcing term points in a specific epistemic direction without altering the underlying update structure.</w:t>
      </w:r>
    </w:p>
    <w:p>
      <w:pPr>
        <w:spacing w:after="180" w:before="0"/>
        <w:jc w:val="both"/>
      </w:pPr>
      <w:r>
        <w:rPr>
          <w:rFonts w:ascii="Georgia" w:cs="Georgia" w:eastAsia="Georgia" w:hAnsi="Georgia"/>
          <w:sz w:val="22"/>
          <w:szCs w:val="22"/>
        </w:rPr>
        <w:t xml:space="preserve">For a cycling failure with λ ≈ e^{iθ} (unit magnitude, nonzero rotation), the forcing term needed to break the cycle is b = −z*(1 − λ), which restores the fixed point to the origin. Computing b from the observable trajectory requires estimating λ from the DFT of the trajectory (§6.5); this is feasible given sufficient history. The distinction between a b-type intervention (directional correction) and a λ-type intervention (changing the dynamics) is operationally precise: re-scoping what is being measured changes λ; injecting a specific result as a prior changes b.</w:t>
      </w:r>
    </w:p>
    <w:p>
      <w:pPr>
        <w:spacing w:after="180" w:before="0"/>
        <w:jc w:val="both"/>
      </w:pPr>
      <w:r>
        <w:rPr>
          <w:rFonts w:ascii="Georgia" w:cs="Georgia" w:eastAsia="Georgia" w:hAnsi="Georgia"/>
          <w:sz w:val="22"/>
          <w:szCs w:val="22"/>
        </w:rPr>
        <w:t xml:space="preserve">Damping (r &lt; 1) means the intrinsic dynamics shrink oscillations without forcing: the system converges on its own. Corrections that reduce the amplitude of artefactual signals are damping terms — they reduce |λ| below 1 in the directions where artefacts would otherwise amplify, without changing the fixed point structure.</w:t>
      </w:r>
    </w:p>
    <w:p>
      <w:pPr>
        <w:pStyle w:val="Heading2"/>
        <w:spacing w:after="100" w:before="280"/>
      </w:pPr>
      <w:r>
        <w:rPr>
          <w:rFonts w:ascii="Georgia" w:cs="Georgia" w:eastAsia="Georgia" w:hAnsi="Georgia"/>
          <w:b/>
          <w:bCs/>
          <w:color w:val="333333"/>
          <w:sz w:val="22"/>
          <w:szCs w:val="22"/>
        </w:rPr>
        <w:t xml:space="preserve">7.3  Phase locking and resonance</w:t>
      </w:r>
    </w:p>
    <w:p>
      <w:pPr>
        <w:spacing w:after="180" w:before="0"/>
        <w:jc w:val="both"/>
      </w:pPr>
      <w:r>
        <w:rPr>
          <w:rFonts w:ascii="Georgia" w:cs="Georgia" w:eastAsia="Georgia" w:hAnsi="Georgia"/>
          <w:sz w:val="22"/>
          <w:szCs w:val="22"/>
        </w:rPr>
        <w:t xml:space="preserve">Phase locking occurs when arg(z_{n+1}) = arg(z_n) — the orientation stops changing. This is the geometric signature of a stable operating point: inquiry has found its T-R balance and is progressing along a fixed epistemic orientation. The confidence threshold in any directional estimation system — requiring n ≥ some minimum observations before trusting a directional prediction — is approximately the phase-locking detection condition: a directional estimate is trusted when the update direction has stabilized enough to be consistent, which is the discrete version of arg(z) becoming constant.</w:t>
      </w:r>
    </w:p>
    <w:p>
      <w:pPr>
        <w:spacing w:after="180" w:before="0"/>
        <w:jc w:val="both"/>
      </w:pPr>
      <w:r>
        <w:rPr>
          <w:rFonts w:ascii="Georgia" w:cs="Georgia" w:eastAsia="Georgia" w:hAnsi="Georgia"/>
          <w:sz w:val="22"/>
          <w:szCs w:val="22"/>
        </w:rPr>
        <w:t xml:space="preserve">Resonance is the failure mode dual to phase locking: when corrective interventions are applied at a frequency matching the system's natural oscillation frequency, they amplify rather than damp. Applying the same type of correction repeatedly at the natural cycling period reinforces the failure loop instead of breaking it. This is why the response to cyclic failure should be a structural intervention (changing λ — what the dynamics are doing) rather than another same-type correction (adding b at the same frequency). The audit changes what the loop is doing; a correction at resonance only makes it do more of the same thing harder.</w:t>
      </w:r>
    </w:p>
    <w:p>
      <w:pPr>
        <w:spacing w:after="180" w:before="0"/>
        <w:jc w:val="both"/>
      </w:pPr>
      <w:r>
        <w:rPr>
          <w:rFonts w:ascii="Georgia" w:cs="Georgia" w:eastAsia="Georgia" w:hAnsi="Georgia"/>
          <w:sz w:val="22"/>
          <w:szCs w:val="22"/>
        </w:rPr>
        <w:t xml:space="preserve">The stability criterion |F′(z)| &lt; 1 at a fixed point certifies that perturbations shrink under the map — the fixed point is an attractor. R is the observable proxy for this criterion: an observation with high R is one whose result is stable under small perturbations of the measurement conditions, which is exactly the local stability criterion applied to the dynamics around the current epistemic state.</w:t>
      </w:r>
    </w:p>
    <w:p>
      <w:pPr>
        <w:spacing w:after="80" w:before="0"/>
      </w:pPr>
    </w:p>
    <w:p>
      <w:pPr>
        <w:pStyle w:val="Heading1"/>
        <w:spacing w:after="160" w:before="400"/>
      </w:pPr>
      <w:r>
        <w:rPr>
          <w:rFonts w:ascii="Georgia" w:cs="Georgia" w:eastAsia="Georgia" w:hAnsi="Georgia"/>
          <w:b/>
          <w:bCs/>
          <w:color w:val="111111"/>
          <w:sz w:val="26"/>
          <w:szCs w:val="26"/>
        </w:rPr>
        <w:t xml:space="preserve">8.  Population-Level Structure</w:t>
      </w:r>
    </w:p>
    <w:p>
      <w:pPr>
        <w:spacing w:after="180" w:before="0"/>
        <w:jc w:val="both"/>
      </w:pPr>
      <w:r>
        <w:rPr>
          <w:rFonts w:ascii="Georgia" w:cs="Georgia" w:eastAsia="Georgia" w:hAnsi="Georgia"/>
          <w:sz w:val="22"/>
          <w:szCs w:val="22"/>
        </w:rPr>
        <w:t xml:space="preserve">The sections above treat a single inquiry's trajectory. When multiple parallel inquiries produce Vec3 states simultaneously, their states form a field:</w:t>
      </w:r>
    </w:p>
    <w:p>
      <w:pPr>
        <w:spacing w:after="80" w:before="80"/>
        <w:ind w:left="640"/>
      </w:pPr>
      <w:r>
        <w:rPr>
          <w:rFonts w:ascii="Courier New" w:cs="Courier New" w:eastAsia="Courier New" w:hAnsi="Courier New"/>
          <w:color w:val="222222"/>
          <w:sz w:val="20"/>
          <w:szCs w:val="20"/>
        </w:rPr>
        <w:t xml:space="preserve">Ψ(n) = { z₁(n), z₂(n), …, zₖ(n) }   where each zᵢ(n) = Tᵢ(n) + iRᵢ(n), gated by Vᵢ(n)</w:t>
      </w:r>
    </w:p>
    <w:p>
      <w:pPr>
        <w:spacing w:after="180" w:before="0"/>
        <w:jc w:val="both"/>
      </w:pPr>
      <w:r>
        <w:rPr>
          <w:rFonts w:ascii="Georgia" w:cs="Georgia" w:eastAsia="Georgia" w:hAnsi="Georgia"/>
          <w:sz w:val="22"/>
          <w:szCs w:val="22"/>
        </w:rPr>
        <w:t xml:space="preserve">The field is not merely the collection of current Vec3 values — it includes the phase relationships between instances, which encode whether parallel inquiries are reinforcing each other or rotating away from alignment.</w:t>
      </w:r>
    </w:p>
    <w:p>
      <w:pPr>
        <w:pStyle w:val="Heading2"/>
        <w:spacing w:after="100" w:before="280"/>
      </w:pPr>
      <w:r>
        <w:rPr>
          <w:rFonts w:ascii="Georgia" w:cs="Georgia" w:eastAsia="Georgia" w:hAnsi="Georgia"/>
          <w:b/>
          <w:bCs/>
          <w:color w:val="333333"/>
          <w:sz w:val="22"/>
          <w:szCs w:val="22"/>
        </w:rPr>
        <w:t xml:space="preserve">8.1  Interference and phase coherence</w:t>
      </w:r>
    </w:p>
    <w:p>
      <w:pPr>
        <w:spacing w:after="180" w:before="0"/>
        <w:jc w:val="both"/>
      </w:pPr>
      <w:r>
        <w:rPr>
          <w:rFonts w:ascii="Georgia" w:cs="Georgia" w:eastAsia="Georgia" w:hAnsi="Georgia"/>
          <w:sz w:val="22"/>
          <w:szCs w:val="22"/>
        </w:rPr>
        <w:t xml:space="preserve">Two inquiry instances whose contexts overlap are not independent — their epistemic states interfere. The combined state in the overlap region:</w:t>
      </w:r>
    </w:p>
    <w:p>
      <w:pPr>
        <w:spacing w:after="80" w:before="80"/>
        <w:ind w:left="640"/>
      </w:pPr>
      <w:r>
        <w:rPr>
          <w:rFonts w:ascii="Courier New" w:cs="Courier New" w:eastAsia="Courier New" w:hAnsi="Courier New"/>
          <w:color w:val="222222"/>
          <w:sz w:val="20"/>
          <w:szCs w:val="20"/>
        </w:rPr>
        <w:t xml:space="preserve">z_overlap = z₁ + z₂ + 2√(z₁z₂) · cos(Δφ)</w:t>
      </w:r>
    </w:p>
    <w:p>
      <w:pPr>
        <w:spacing w:after="180" w:before="0"/>
        <w:jc w:val="both"/>
      </w:pPr>
      <w:r>
        <w:rPr>
          <w:rFonts w:ascii="Georgia" w:cs="Georgia" w:eastAsia="Georgia" w:hAnsi="Georgia"/>
          <w:sz w:val="22"/>
          <w:szCs w:val="22"/>
        </w:rPr>
        <w:t xml:space="preserve">where Δφ = arg(z₁) − arg(z₂) is the phase difference. When Δφ ≈ 0, the overlap is constructive — two instances agreeing across independent inquiries, the complex-field form of the high dot product from §2.5. When Δφ ≈ π, the overlap is destructive — a contradiction requiring tiebreaker investigation. Constructive and destructive interference are unified under one formalism, with the interference formula giving the quantitative magnitude of agreement or conflict in a way that dot product alone (which ignores R-component phase) cannot.</w:t>
      </w:r>
    </w:p>
    <w:p>
      <w:pPr>
        <w:spacing w:after="180" w:before="0"/>
        <w:jc w:val="both"/>
      </w:pPr>
      <w:r>
        <w:rPr>
          <w:rFonts w:ascii="Georgia" w:cs="Georgia" w:eastAsia="Georgia" w:hAnsi="Georgia"/>
          <w:sz w:val="22"/>
          <w:szCs w:val="22"/>
        </w:rPr>
        <w:t xml:space="preserve">The field coherence scalar — the ratio of constructive to destructive interference integrated across all active pairs — is the population-level analog of the individual signal strength. Low field coherence means high phase variance across instances: many independent directions being probed in parallel. High field coherence means instances are converging on a common epistemic orientation. The transition from exploration to exploitation in any population-level inquiry system is a phase transition in this field: individual instances may each be running the same update dynamics, but the field-level coherence shifts discontinuously.</w:t>
      </w:r>
    </w:p>
    <w:p>
      <w:pPr>
        <w:pStyle w:val="Heading2"/>
        <w:spacing w:after="100" w:before="280"/>
      </w:pPr>
      <w:r>
        <w:rPr>
          <w:rFonts w:ascii="Georgia" w:cs="Georgia" w:eastAsia="Georgia" w:hAnsi="Georgia"/>
          <w:b/>
          <w:bCs/>
          <w:color w:val="333333"/>
          <w:sz w:val="22"/>
          <w:szCs w:val="22"/>
        </w:rPr>
        <w:t xml:space="preserve">8.2  Energy functional</w:t>
      </w:r>
    </w:p>
    <w:p>
      <w:pPr>
        <w:spacing w:after="180" w:before="0"/>
        <w:jc w:val="both"/>
      </w:pPr>
      <w:r>
        <w:rPr>
          <w:rFonts w:ascii="Georgia" w:cs="Georgia" w:eastAsia="Georgia" w:hAnsi="Georgia"/>
          <w:sz w:val="22"/>
          <w:szCs w:val="22"/>
        </w:rPr>
        <w:t xml:space="preserve">The field admits a natural energy functional:</w:t>
      </w:r>
    </w:p>
    <w:p>
      <w:pPr>
        <w:spacing w:after="80" w:before="80"/>
        <w:ind w:left="640"/>
      </w:pPr>
      <w:r>
        <w:rPr>
          <w:rFonts w:ascii="Courier New" w:cs="Courier New" w:eastAsia="Courier New" w:hAnsi="Courier New"/>
          <w:color w:val="222222"/>
          <w:sz w:val="20"/>
          <w:szCs w:val="20"/>
        </w:rPr>
        <w:t xml:space="preserve">E(Ψ) = Σᵢ αᵢ|zᵢ|²  +  Σᵢ≠ⱼ β · conflict(zᵢ, zⱼ)</w:t>
      </w:r>
    </w:p>
    <w:p>
      <w:pPr>
        <w:spacing w:after="180" w:before="0"/>
        <w:jc w:val="both"/>
      </w:pPr>
      <w:r>
        <w:rPr>
          <w:rFonts w:ascii="Georgia" w:cs="Georgia" w:eastAsia="Georgia" w:hAnsi="Georgia"/>
          <w:sz w:val="22"/>
          <w:szCs w:val="22"/>
        </w:rPr>
        <w:t xml:space="preserve">The first term is the total epistemic signal strength across the field, weighted by per-instance validity Vᵢ so that instances with collapsed reference frames contribute zero. The second term is interaction energy between instances whose contexts are similar enough to make their differences meaningful: high interaction energy means contradictory results in similar inquiry contexts; low interaction energy means findings are either aligned or appropriately orthogonal.</w:t>
      </w:r>
    </w:p>
    <w:p>
      <w:pPr>
        <w:spacing w:after="180" w:before="0"/>
        <w:jc w:val="both"/>
      </w:pPr>
      <w:r>
        <w:rPr>
          <w:rFonts w:ascii="Georgia" w:cs="Georgia" w:eastAsia="Georgia" w:hAnsi="Georgia"/>
          <w:sz w:val="22"/>
          <w:szCs w:val="22"/>
        </w:rPr>
        <w:t xml:space="preserve">The gradient flow:</w:t>
      </w:r>
    </w:p>
    <w:p>
      <w:pPr>
        <w:spacing w:after="80" w:before="80"/>
        <w:ind w:left="640"/>
      </w:pPr>
      <w:r>
        <w:rPr>
          <w:rFonts w:ascii="Courier New" w:cs="Courier New" w:eastAsia="Courier New" w:hAnsi="Courier New"/>
          <w:color w:val="222222"/>
          <w:sz w:val="20"/>
          <w:szCs w:val="20"/>
        </w:rPr>
        <w:t xml:space="preserve">dz_i/dn = −∇_{z_i} E</w:t>
      </w:r>
    </w:p>
    <w:p>
      <w:pPr>
        <w:spacing w:after="180" w:before="0"/>
        <w:jc w:val="both"/>
      </w:pPr>
      <w:r>
        <w:rPr>
          <w:rFonts w:ascii="Georgia" w:cs="Georgia" w:eastAsia="Georgia" w:hAnsi="Georgia"/>
          <w:sz w:val="22"/>
          <w:szCs w:val="22"/>
        </w:rPr>
        <w:t xml:space="preserve">is the direction each instance's state would naturally evolve to reduce total field incoherence. This gradient provides a field-level objective that complements the instance-level criterion optimization: an instance may improve its individual T while increasing the field's interaction energy, which the gradient flow would resist. The energy functional makes precise what resolving a population-level contradiction means geometrically — not reconciling two propositions, but moving the field toward a lower-energy configuration.</w:t>
      </w:r>
    </w:p>
    <w:p>
      <w:pPr>
        <w:pStyle w:val="Heading2"/>
        <w:spacing w:after="100" w:before="280"/>
      </w:pPr>
      <w:r>
        <w:rPr>
          <w:rFonts w:ascii="Georgia" w:cs="Georgia" w:eastAsia="Georgia" w:hAnsi="Georgia"/>
          <w:b/>
          <w:bCs/>
          <w:color w:val="333333"/>
          <w:sz w:val="22"/>
          <w:szCs w:val="22"/>
        </w:rPr>
        <w:t xml:space="preserve">8.3  Forward evolution and cross-instance coupling</w:t>
      </w:r>
    </w:p>
    <w:p>
      <w:pPr>
        <w:spacing w:after="180" w:before="0"/>
        <w:jc w:val="both"/>
      </w:pPr>
      <w:r>
        <w:rPr>
          <w:rFonts w:ascii="Georgia" w:cs="Georgia" w:eastAsia="Georgia" w:hAnsi="Georgia"/>
          <w:sz w:val="22"/>
          <w:szCs w:val="22"/>
        </w:rPr>
        <w:t xml:space="preserve">A predictive model of population dynamics approximates the forward evolution operator:</w:t>
      </w:r>
    </w:p>
    <w:p>
      <w:pPr>
        <w:spacing w:after="80" w:before="80"/>
        <w:ind w:left="640"/>
      </w:pPr>
      <w:r>
        <w:rPr>
          <w:rFonts w:ascii="Courier New" w:cs="Courier New" w:eastAsia="Courier New" w:hAnsi="Courier New"/>
          <w:color w:val="222222"/>
          <w:sz w:val="20"/>
          <w:szCs w:val="20"/>
        </w:rPr>
        <w:t xml:space="preserve">Ψ(n + Δn) ≈ 𝒰(Δn) · Ψ(n)</w:t>
      </w:r>
    </w:p>
    <w:p>
      <w:pPr>
        <w:spacing w:after="180" w:before="0"/>
        <w:jc w:val="both"/>
      </w:pPr>
      <w:r>
        <w:rPr>
          <w:rFonts w:ascii="Georgia" w:cs="Georgia" w:eastAsia="Georgia" w:hAnsi="Georgia"/>
          <w:sz w:val="22"/>
          <w:szCs w:val="22"/>
        </w:rPr>
        <w:t xml:space="preserve">The quality of 𝒰 depends on whether it captures cross-instance coupling — how spawning or terminating one instance changes the dynamics of its siblings through the interaction term of the energy functional — or only predicts each instance independently. A propagator that correctly captures coupling is strictly more informative than one predicting diagonal terms alone. The structured state required to approximate 𝒰 includes not just per-instance Vec3 values but the full phase relationship matrix — which pairs of instances are in constructive versus destructive interference, and how that structure is changing.</w:t>
      </w:r>
    </w:p>
    <w:p>
      <w:pPr>
        <w:spacing w:after="80" w:before="0"/>
      </w:pPr>
    </w:p>
    <w:p>
      <w:pPr>
        <w:pStyle w:val="Heading1"/>
        <w:spacing w:after="160" w:before="400"/>
      </w:pPr>
      <w:r>
        <w:rPr>
          <w:rFonts w:ascii="Georgia" w:cs="Georgia" w:eastAsia="Georgia" w:hAnsi="Georgia"/>
          <w:b/>
          <w:bCs/>
          <w:color w:val="111111"/>
          <w:sz w:val="26"/>
          <w:szCs w:val="26"/>
        </w:rPr>
        <w:t xml:space="preserve">9.  Open Problems</w:t>
      </w:r>
    </w:p>
    <w:p>
      <w:pPr>
        <w:spacing w:after="180" w:before="0"/>
        <w:jc w:val="both"/>
      </w:pPr>
      <w:r>
        <w:rPr>
          <w:rFonts w:ascii="Georgia" w:cs="Georgia" w:eastAsia="Georgia" w:hAnsi="Georgia"/>
          <w:sz w:val="22"/>
          <w:szCs w:val="22"/>
        </w:rPr>
        <w:t xml:space="preserve">Ordered by proximity to current formalization. Detail thins with distance.</w:t>
      </w:r>
    </w:p>
    <w:p>
      <w:pPr>
        <w:spacing w:after="180" w:before="0"/>
        <w:jc w:val="both"/>
      </w:pPr>
      <w:r>
        <w:rPr>
          <w:rFonts w:ascii="Georgia" w:cs="Georgia" w:eastAsia="Georgia" w:hAnsi="Georgia"/>
          <w:b/>
          <w:bCs/>
          <w:sz w:val="22"/>
          <w:szCs w:val="22"/>
        </w:rPr>
        <w:t xml:space="preserve">Constraint manifold.  </w:t>
      </w:r>
      <w:r>
        <w:rPr>
          <w:rFonts w:ascii="Georgia" w:cs="Georgia" w:eastAsia="Georgia" w:hAnsi="Georgia"/>
          <w:sz w:val="22"/>
          <w:szCs w:val="22"/>
        </w:rPr>
        <w:t xml:space="preserve">The present treatment uses the full cube as an approximation. If large regions of [−1,+1]³ are empirically unreachable in a given domain, Vec3 lives on a constrained submanifold. Riemannian geometry would replace the Euclidean analysis throughout: geodesics become the correct notion of distance and optimal path, and intrinsic curvature replaces the flat local approximation. Characterizing the manifold requires domain-by-domain empirical enumeration of which sign-pattern combinations are reachable, then fitting a surface to the boundary.</w:t>
      </w:r>
    </w:p>
    <w:p>
      <w:pPr>
        <w:spacing w:after="180" w:before="0"/>
        <w:jc w:val="both"/>
      </w:pPr>
      <w:r>
        <w:rPr>
          <w:rFonts w:ascii="Georgia" w:cs="Georgia" w:eastAsia="Georgia" w:hAnsi="Georgia"/>
          <w:b/>
          <w:bCs/>
          <w:sz w:val="22"/>
          <w:szCs w:val="22"/>
        </w:rPr>
        <w:t xml:space="preserve">Action space metric and full Jacobian.  </w:t>
      </w:r>
      <w:r>
        <w:rPr>
          <w:rFonts w:ascii="Georgia" w:cs="Georgia" w:eastAsia="Georgia" w:hAnsi="Georgia"/>
          <w:sz w:val="22"/>
          <w:szCs w:val="22"/>
        </w:rPr>
        <w:t xml:space="preserve">The gradient of Vec3 over action space is defined only at observed action points without a metric over action space. Defining this metric — likely via structural similarity of expected epistemic effects plus embedding distance over action descriptions — would allow Jacobian interpolation between observed points and make gradient-following well-defined as a continuous operation. Extending from diagonal to full 3×k Jacobian estimation is the parallel empirical requirement: off-diagonal entries are where the actionable cross-axis structure lives.</w:t>
      </w:r>
    </w:p>
    <w:p>
      <w:pPr>
        <w:spacing w:after="180" w:before="0"/>
        <w:jc w:val="both"/>
      </w:pPr>
      <w:r>
        <w:rPr>
          <w:rFonts w:ascii="Georgia" w:cs="Georgia" w:eastAsia="Georgia" w:hAnsi="Georgia"/>
          <w:b/>
          <w:bCs/>
          <w:sz w:val="22"/>
          <w:szCs w:val="22"/>
        </w:rPr>
        <w:t xml:space="preserve">Path dependence verification.  </w:t>
      </w:r>
      <w:r>
        <w:rPr>
          <w:rFonts w:ascii="Georgia" w:cs="Georgia" w:eastAsia="Georgia" w:hAnsi="Georgia"/>
          <w:sz w:val="22"/>
          <w:szCs w:val="22"/>
        </w:rPr>
        <w:t xml:space="preserve">Whether the Vec3 field is measurably non-conservative in practice requires the closed-loop test from §4.3. The minimum empirical test: take two inquiry histories that reached similar final Vec3 states via different paths — one clean, one through a V-collapse-and-recovery episode — and test whether they produce different predictions on held-out actions. If indistinguishable, endpoint analysis is sufficient and path information carries no additional predictive value. If distinguishable, path-weighted updates to accumulated directional knowledge are necessary.</w:t>
      </w:r>
    </w:p>
    <w:p>
      <w:pPr>
        <w:spacing w:after="180" w:before="0"/>
        <w:jc w:val="both"/>
      </w:pPr>
      <w:r>
        <w:rPr>
          <w:rFonts w:ascii="Georgia" w:cs="Georgia" w:eastAsia="Georgia" w:hAnsi="Georgia"/>
          <w:b/>
          <w:bCs/>
          <w:sz w:val="22"/>
          <w:szCs w:val="22"/>
        </w:rPr>
        <w:t xml:space="preserve">Lyapunov stability certificate.  </w:t>
      </w:r>
      <w:r>
        <w:rPr>
          <w:rFonts w:ascii="Georgia" w:cs="Georgia" w:eastAsia="Georgia" w:hAnsi="Georgia"/>
          <w:sz w:val="22"/>
          <w:szCs w:val="22"/>
        </w:rPr>
        <w:t xml:space="preserve">A Lyapunov function over Vec3 space — a scalar decreasing monotonically along all valid inquiry trajectories — would formally certify that the dynamics cannot enter a cyclic failure or Goodhart basin under valid operation. A candidate form: Φ = w₁(1−T)² + w₂(1+R)² + w₃(1+V)² + λ · ‖[M₁, M₂]‖, where every permitted action must not increase Φ, or must trigger a gate that blocks execution if it would. Whether this condition can be enforced given the nonlinearity introduced by boundary clamping is the open theoretical question.</w:t>
      </w:r>
    </w:p>
    <w:p>
      <w:pPr>
        <w:spacing w:after="180" w:before="0"/>
        <w:jc w:val="both"/>
      </w:pPr>
      <w:r>
        <w:rPr>
          <w:rFonts w:ascii="Georgia" w:cs="Georgia" w:eastAsia="Georgia" w:hAnsi="Georgia"/>
          <w:b/>
          <w:bCs/>
          <w:sz w:val="22"/>
          <w:szCs w:val="22"/>
        </w:rPr>
        <w:t xml:space="preserve">Mode decomposition.  </w:t>
      </w:r>
      <w:r>
        <w:rPr>
          <w:rFonts w:ascii="Georgia" w:cs="Georgia" w:eastAsia="Georgia" w:hAnsi="Georgia"/>
          <w:sz w:val="22"/>
          <w:szCs w:val="22"/>
        </w:rPr>
        <w:t xml:space="preserve">Can the population field Ψ(n) be decomposed into a small number of fundamental modes — a criterion-chasing mode, a validity-preserving mode, an oscillatory cycling mode — such that population behaviour is determined by which modes dominate? The derivation requires linearising the update operator around the minimum-energy configuration of the field (§8.2). A concrete minimal model — two or three instances with simplified update rules — would either confirm the modal structure or reveal where linearisation breaks down. If modes are stable, the population control problem reduces to mode suppression and amplification rather than instance-by-instance management.</w:t>
      </w:r>
    </w:p>
    <w:p>
      <w:pPr>
        <w:spacing w:after="180" w:before="0"/>
        <w:jc w:val="both"/>
      </w:pPr>
      <w:r>
        <w:rPr>
          <w:rFonts w:ascii="Georgia" w:cs="Georgia" w:eastAsia="Georgia" w:hAnsi="Georgia"/>
          <w:b/>
          <w:bCs/>
          <w:sz w:val="22"/>
          <w:szCs w:val="22"/>
        </w:rPr>
        <w:t xml:space="preserve">Lie algebra of action transforms.  </w:t>
      </w:r>
      <w:r>
        <w:rPr>
          <w:rFonts w:ascii="Georgia" w:cs="Georgia" w:eastAsia="Georgia" w:hAnsi="Georgia"/>
          <w:sz w:val="22"/>
          <w:szCs w:val="22"/>
        </w:rPr>
        <w:t xml:space="preserve">When commutators [M₁, M₂] are systematically nonzero across the action vocabulary, the set of action transforms forms a Lie algebra. Studying this algebra — its generators, structure constants, and irreducible representations — would characterize which pairs of actions are fundamentally order-sensitive and why, and whether the order-sensitivity has a symmetry group structure. This would turn the empirical observation of path-dependent outcomes into a predictive structural theory.</w:t>
      </w:r>
    </w:p>
    <w:p>
      <w:pPr>
        <w:spacing w:after="180" w:before="0"/>
        <w:jc w:val="both"/>
      </w:pPr>
      <w:r>
        <w:rPr>
          <w:rFonts w:ascii="Georgia" w:cs="Georgia" w:eastAsia="Georgia" w:hAnsi="Georgia"/>
          <w:b/>
          <w:bCs/>
          <w:sz w:val="22"/>
          <w:szCs w:val="22"/>
        </w:rPr>
        <w:t xml:space="preserve">Complex V and analytic continuation.  </w:t>
      </w:r>
      <w:r>
        <w:rPr>
          <w:rFonts w:ascii="Georgia" w:cs="Georgia" w:eastAsia="Georgia" w:hAnsi="Georgia"/>
          <w:sz w:val="22"/>
          <w:szCs w:val="22"/>
        </w:rPr>
        <w:t xml:space="preserve">Extending V to complex values V = V_re + iV_im would allow V_im to encode uncertainty about whether the evaluation is valid — not a binary valid/invalid signal but a graded epistemic uncertainty. A complex V would rotate the effective state w = (V_re + iV_im)(T + iR) out of the real T-R plane even when T and R are real, representing an evaluation that is probably valid but structurally uncertain. The calibration condition Im(V) → 0 would require uncertainty about validity to be resolved before results are trusted. Analytic continuation of the Jacobian into complex action parameter space would additionally resolve the action-space metric problem above by allowing interpolation through the complex plane.</w:t>
      </w:r>
    </w:p>
    <w:p>
      <w:pPr>
        <w:spacing w:after="180" w:before="0"/>
        <w:jc w:val="both"/>
      </w:pPr>
      <w:r>
        <w:rPr>
          <w:rFonts w:ascii="Georgia" w:cs="Georgia" w:eastAsia="Georgia" w:hAnsi="Georgia"/>
          <w:b/>
          <w:bCs/>
          <w:sz w:val="22"/>
          <w:szCs w:val="22"/>
        </w:rPr>
        <w:t xml:space="preserve">Quaternion extension.  </w:t>
      </w:r>
      <w:r>
        <w:rPr>
          <w:rFonts w:ascii="Georgia" w:cs="Georgia" w:eastAsia="Georgia" w:hAnsi="Georgia"/>
          <w:sz w:val="22"/>
          <w:szCs w:val="22"/>
        </w:rPr>
        <w:t xml:space="preserve">The pure quaternion q = Ti + Rj + Vk has non-commutative multiplication (ij = k, ji = −k) that directly models the non-commutativity of Vec3 action transforms without requiring separate commutator analysis. The quaternion commutator [q₁, q₂] = q₁q₂ − q₂q₁ is the native algebraic form of §3.2; the cross product q₁ × q₂ points in the direction of Vec3 space that neither of two inquiry instances has explored, which is the natural synthesis direction from §2.5. The Lie algebra of SU(2) provides the formal algebraic structure that §3.2 identifies as needed; under the quaternion embedding this structure is native to the algebra rather than imposed separately.</w:t>
      </w:r>
    </w:p>
    <w:p>
      <w:pPr>
        <w:spacing w:after="180" w:before="0"/>
        <w:jc w:val="both"/>
      </w:pPr>
      <w:r>
        <w:rPr>
          <w:rFonts w:ascii="Georgia" w:cs="Georgia" w:eastAsia="Georgia" w:hAnsi="Georgia"/>
          <w:b/>
          <w:bCs/>
          <w:sz w:val="22"/>
          <w:szCs w:val="22"/>
        </w:rPr>
        <w:t xml:space="preserve">Fractal boundary.  </w:t>
      </w:r>
      <w:r>
        <w:rPr>
          <w:rFonts w:ascii="Georgia" w:cs="Georgia" w:eastAsia="Georgia" w:hAnsi="Georgia"/>
          <w:sz w:val="22"/>
          <w:szCs w:val="22"/>
        </w:rPr>
        <w:t xml:space="preserve">The nonlinear map z_{n+1} = z_n² + c (the Mandelbrot family) produces fractal boundary structure between converging and diverging initial conditions. If the Vec3 update function has quadratic or higher-order nonlinearity in the z-plane — plausible if actions interact multiplicatively — the boundary between tractable inquiry and Goodhart collapse may have fractal structure. This would imply that there exist initial epistemic states arbitrarily close to the tractable region that nevertheless collapse, and that the set of such states is dense on the boundary. The practical implication is that no finite predictor can reliably classify boundary configurations: confidence scores from any bounded model cannot be trusted to identify safe initial conditions, making structural proposal gates necessary regardless of predictor confidence.</w:t>
      </w:r>
    </w:p>
    <w:p>
      <w:pPr>
        <w:spacing w:after="320" w:before="0"/>
      </w:pPr>
    </w:p>
    <w:p>
      <w:pPr>
        <w:pBdr>
          <w:bottom w:val="single" w:color="222222" w:sz="6" w:space="1"/>
        </w:pBdr>
        <w:spacing w:after="0" w:before="0"/>
      </w:pPr>
    </w:p>
    <w:p>
      <w:pPr>
        <w:spacing w:after="240" w:before="0"/>
      </w:pPr>
    </w:p>
    <w:p>
      <w:pPr>
        <w:pStyle w:val="Heading1"/>
        <w:spacing w:after="160" w:before="400"/>
      </w:pPr>
      <w:r>
        <w:rPr>
          <w:rFonts w:ascii="Georgia" w:cs="Georgia" w:eastAsia="Georgia" w:hAnsi="Georgia"/>
          <w:b/>
          <w:bCs/>
          <w:color w:val="111111"/>
          <w:sz w:val="26"/>
          <w:szCs w:val="26"/>
        </w:rPr>
        <w:t xml:space="preserve">Appendix: Instantiation Correspondence</w:t>
      </w:r>
    </w:p>
    <w:p>
      <w:pPr>
        <w:spacing w:after="180" w:before="0"/>
        <w:jc w:val="both"/>
      </w:pPr>
      <w:r>
        <w:rPr>
          <w:rFonts w:ascii="Georgia" w:cs="Georgia" w:eastAsia="Georgia" w:hAnsi="Georgia"/>
          <w:sz w:val="22"/>
          <w:szCs w:val="22"/>
        </w:rPr>
        <w:t xml:space="preserve">The mathematical objects in this paper are domain-general. The following table records how they map onto the automated evaluation instantiation (the primary worked context). Other instantiations will produce different mappings for the same mathematical objects.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Mathematical object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System component (evaluation instantiation)</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5"/>
              <w:bottom w:type="dxa" w:w="80"/>
              <w:right w:type="dxa" w:w="125"/>
            </w:tcMar>
            <w:vAlign w:val="top"/>
          </w:tcPr>
          <w:p>
            <w:pPr>
              <w:spacing w:after="0" w:before="0"/>
            </w:pPr>
            <w:r>
              <w:rPr>
                <w:rFonts w:ascii="Georgia" w:cs="Georgia" w:eastAsia="Georgia" w:hAnsi="Georgia"/>
                <w:b/>
                <w:bCs/>
                <w:i w:val="false"/>
                <w:iCs w:val="false"/>
                <w:color w:val="000000"/>
                <w:sz w:val="18"/>
                <w:szCs w:val="18"/>
              </w:rPr>
              <w:t xml:space="preserve">Correspondence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Partition of [−1,+1]³ into named regions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Resolver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Classification is geometry — which region a state occupies determines the prescribed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Diagonal Jacobian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Accumulated directional estimator (Wisdom)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Running mean of per-axis deltas per action approximates ∂Vec3/∂a independently per axis; off-diagonal terms are the gap to full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Signal strength |v|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RunScore magnitude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Gates classification before sign-pattern logic; low magnitude → insufficient signal regardless of direction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Local curvature proxy (R as Hessian hypothesis)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RunScore spread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High spread suggests narrow basin — sensitivity to perturbation; this is a hypothesis, not a derivation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Anti-holomorphic component ∂L/∂z̄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Goodhart pre-check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Threshold approximation of the angular condition in the (R, V) plane; structural distance δ catches cases where angle alone is insufficient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Complex trajectory arg(z)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Phase of successive RunScores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Rate of change d(arg(z))/dn is computable from history; not yet extracted in current implementations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Field coherence Σ cos(Δφ)</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Programme Allocation Signal (PAS)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5"/>
              <w:bottom w:type="dxa" w:w="80"/>
              <w:right w:type="dxa" w:w="125"/>
            </w:tcMar>
            <w:vAlign w:val="top"/>
          </w:tcPr>
          <w:p>
            <w:pPr>
              <w:spacing w:after="0" w:before="0"/>
            </w:pPr>
            <w:r>
              <w:rPr>
                <w:rFonts w:ascii="Georgia" w:cs="Georgia" w:eastAsia="Georgia" w:hAnsi="Georgia"/>
                <w:b w:val="false"/>
                <w:bCs w:val="false"/>
                <w:i w:val="false"/>
                <w:iCs w:val="false"/>
                <w:color w:val="000000"/>
                <w:sz w:val="18"/>
                <w:szCs w:val="18"/>
              </w:rPr>
              <w:t xml:space="preserve">Global coherence measure across parallel evaluation instances; low PAS = high phase variance, high PAS = convergence</w:t>
            </w:r>
          </w:p>
        </w:tc>
      </w:tr>
    </w:tbl>
    <w:p>
      <w:pPr>
        <w:spacing w:after="200" w:before="0"/>
      </w:pPr>
    </w:p>
    <w:p>
      <w:pPr>
        <w:spacing w:after="0" w:before="0"/>
        <w:jc w:val="right"/>
      </w:pPr>
      <w:r>
        <w:rPr>
          <w:rFonts w:ascii="Georgia" w:cs="Georgia" w:eastAsia="Georgia" w:hAnsi="Georgia"/>
          <w:i/>
          <w:iCs/>
          <w:color w:val="888888"/>
          <w:sz w:val="18"/>
          <w:szCs w:val="18"/>
        </w:rPr>
        <w:t xml:space="preserve">Mathematics of Vec3  ·  Geometry of Epistemic State Space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11111"/>
      <w:sz w:val="26"/>
      <w:szCs w:val="26"/>
    </w:rPr>
  </w:style>
  <w:style w:type="paragraph" w:styleId="Heading2">
    <w:name w:val="Heading 2"/>
    <w:basedOn w:val="Normal"/>
    <w:next w:val="Normal"/>
    <w:qFormat/>
    <w:pPr>
      <w:spacing w:after="100" w:before="280"/>
      <w:outlineLvl w:val="1"/>
    </w:pPr>
    <w:rPr>
      <w:rFonts w:ascii="Georgia" w:cs="Georgia" w:eastAsia="Georgia" w:hAnsi="Georgia"/>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2026-05-05T11:07:11.281Z</dcterms:created>
  <dcterms:modified xsi:type="dcterms:W3CDTF">2026-05-05T11:07:11.296Z</dcterms:modified>
</cp:coreProperties>
</file>

<file path=docProps/custom.xml><?xml version="1.0" encoding="utf-8"?>
<Properties xmlns="http://schemas.openxmlformats.org/officeDocument/2006/custom-properties" xmlns:vt="http://schemas.openxmlformats.org/officeDocument/2006/docPropsVTypes"/>
</file>