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100" w:before="0"/>
        <w:jc w:val="left"/>
      </w:pPr>
      <w:r>
        <w:rPr>
          <w:rFonts w:ascii="Georgia" w:cs="Georgia" w:eastAsia="Georgia" w:hAnsi="Georgia"/>
          <w:b/>
          <w:bCs/>
          <w:color w:val="111111"/>
          <w:sz w:val="52"/>
          <w:szCs w:val="52"/>
        </w:rPr>
        <w:t xml:space="preserve">Vec3(T, R, V)</w:t>
      </w:r>
    </w:p>
    <w:p>
      <w:pPr>
        <w:spacing w:after="320" w:before="0"/>
        <w:jc w:val="left"/>
      </w:pPr>
      <w:r>
        <w:rPr>
          <w:rFonts w:ascii="Georgia" w:cs="Georgia" w:eastAsia="Georgia" w:hAnsi="Georgia"/>
          <w:i/>
          <w:iCs/>
          <w:color w:val="444444"/>
          <w:sz w:val="28"/>
          <w:szCs w:val="28"/>
        </w:rPr>
        <w:t xml:space="preserve">A Geometric Framework for Epistemic State</w:t>
      </w:r>
    </w:p>
    <w:p>
      <w:pPr>
        <w:pBdr>
          <w:bottom w:val="single" w:color="222222" w:sz="6" w:space="1"/>
        </w:pBdr>
        <w:spacing w:after="0" w:before="0"/>
      </w:pPr>
    </w:p>
    <w:p>
      <w:pPr>
        <w:spacing w:after="320" w:before="0"/>
      </w:pPr>
    </w:p>
    <w:p>
      <w:pPr>
        <w:spacing w:after="120" w:before="0"/>
      </w:pPr>
      <w:r>
        <w:rPr>
          <w:rFonts w:ascii="Georgia" w:cs="Georgia" w:eastAsia="Georgia" w:hAnsi="Georgia"/>
          <w:b/>
          <w:bCs/>
          <w:caps/>
          <w:spacing w:val="40"/>
          <w:sz w:val="22"/>
          <w:szCs w:val="22"/>
        </w:rPr>
        <w:t xml:space="preserve">Abstract</w:t>
      </w:r>
    </w:p>
    <w:p>
      <w:pPr>
        <w:spacing w:after="200" w:before="0"/>
        <w:jc w:val="both"/>
      </w:pPr>
      <w:r>
        <w:rPr>
          <w:rFonts w:ascii="Georgia" w:cs="Georgia" w:eastAsia="Georgia" w:hAnsi="Georgia"/>
          <w:color w:val="222222"/>
          <w:sz w:val="22"/>
          <w:szCs w:val="22"/>
        </w:rPr>
        <w:t xml:space="preserve">Epistemic states — assessments of whether a result is correct, consistent, and comparable — are commonly represented as scalars. This paper argues that the scalar representation is structurally impoverished: it discards two of the three independent facts about any epistemic state, and it is precisely in those two discarded dimensions that the most consequential distinctions live. We propose Vec3(T, R, V): a three-dimensional bounded space in which epistemic states are points. The three axes — Truthness, Reliability, Validity — represent non-derivable epistemic questions, not statistically independent quantities. Their geometry generates ten distinct regions, five of which are inaccessible to scalar evaluation; inter-axis coupling angles give geometric definitions of failure modes without reference to thresholds; trajectory structure through the cube encodes the dynamics of epistemic progress; and attractor analysis locates the directions a system will drift under optimization pressure. The geometric framework is domain-general. Automated evaluation of AI systems is one instantiation, developed here as a worked implementation to make the framework concrete. The Mathematics of Vec3 develops the underlying structure in full.</w:t>
      </w:r>
    </w:p>
    <w:p>
      <w:pPr>
        <w:spacing w:after="160" w:before="0"/>
      </w:pPr>
    </w:p>
    <w:p>
      <w:pPr>
        <w:pBdr>
          <w:bottom w:val="single" w:color="222222" w:sz="6" w:space="1"/>
        </w:pBdr>
        <w:spacing w:after="0" w:before="0"/>
      </w:pPr>
    </w:p>
    <w:p>
      <w:pPr>
        <w:spacing w:after="240" w:before="0"/>
      </w:pPr>
    </w:p>
    <w:p>
      <w:pPr>
        <w:pStyle w:val="Heading1"/>
        <w:spacing w:after="160" w:before="400"/>
      </w:pPr>
      <w:r>
        <w:rPr>
          <w:rFonts w:ascii="Georgia" w:cs="Georgia" w:eastAsia="Georgia" w:hAnsi="Georgia"/>
          <w:b/>
          <w:bCs/>
          <w:color w:val="111111"/>
          <w:sz w:val="26"/>
          <w:szCs w:val="26"/>
        </w:rPr>
        <w:t xml:space="preserve">1.  The Scalar Account of Epistemic State</w:t>
      </w:r>
    </w:p>
    <w:p>
      <w:pPr>
        <w:spacing w:after="180" w:before="0"/>
        <w:jc w:val="both"/>
      </w:pPr>
      <w:r>
        <w:rPr>
          <w:rFonts w:ascii="Georgia" w:cs="Georgia" w:eastAsia="Georgia" w:hAnsi="Georgia"/>
          <w:sz w:val="22"/>
          <w:szCs w:val="22"/>
        </w:rPr>
        <w:t xml:space="preserve">Any assessment of a result reduces, in current practice, to a scalar: a metric, a score, a pass/fail bit. The scalar captures one fact about the result — whether it satisfies the primary criterion — and discards everything else. For unambiguous wins and losses this is sufficient. The scalar's structural limitation is not that it gets these cases wrong but that it has no room for a third fact.</w:t>
      </w:r>
    </w:p>
    <w:p>
      <w:pPr>
        <w:spacing w:after="180" w:before="0"/>
        <w:jc w:val="both"/>
      </w:pPr>
      <w:r>
        <w:rPr>
          <w:rFonts w:ascii="Georgia" w:cs="Georgia" w:eastAsia="Georgia" w:hAnsi="Georgia"/>
          <w:sz w:val="22"/>
          <w:szCs w:val="22"/>
        </w:rPr>
        <w:t xml:space="preserve">Consider what a scalar cannot distinguish. A result that satisfies the primary criterion while being internally self-contradictory across measurements is indistinguishable from a result that is both correct and internally coherent. A result that satisfies the criterion by optimizing the metric rather than the underlying property it was designed to proxy is indistinguishable from genuine improvement. A result that cannot be compared to the reference at all — because the context shifted, the question changed, or the baseline is invalid — produces a score that is noise masquerading as signal.</w:t>
      </w:r>
    </w:p>
    <w:p>
      <w:pPr>
        <w:spacing w:after="180" w:before="0"/>
        <w:jc w:val="both"/>
      </w:pPr>
      <w:r>
        <w:rPr>
          <w:rFonts w:ascii="Georgia" w:cs="Georgia" w:eastAsia="Georgia" w:hAnsi="Georgia"/>
          <w:sz w:val="22"/>
          <w:szCs w:val="22"/>
        </w:rPr>
        <w:t xml:space="preserve">These are not pathological edge cases. They are the dominant failure modes of any metric-driven development process, and they share a common structure: each requires knowing something about the result that exists on a dimension orthogonal to the primary criterion. A one-dimensional space has no orthogonal dimensions. The information is not compressed or approximated; it is structurally absent.</w:t>
      </w:r>
    </w:p>
    <w:p>
      <w:pPr>
        <w:spacing w:after="180" w:before="0"/>
        <w:jc w:val="both"/>
      </w:pPr>
      <w:r>
        <w:rPr>
          <w:rFonts w:ascii="Georgia" w:cs="Georgia" w:eastAsia="Georgia" w:hAnsi="Georgia"/>
          <w:sz w:val="22"/>
          <w:szCs w:val="22"/>
        </w:rPr>
        <w:t xml:space="preserve">The response is not to add heuristics on top of the scalar. It is to ask what space epistemic states actually live in.</w:t>
      </w:r>
    </w:p>
    <w:p>
      <w:pPr>
        <w:spacing w:after="80" w:before="0"/>
      </w:pPr>
    </w:p>
    <w:p>
      <w:pPr>
        <w:pStyle w:val="Heading1"/>
        <w:spacing w:after="160" w:before="400"/>
      </w:pPr>
      <w:r>
        <w:rPr>
          <w:rFonts w:ascii="Georgia" w:cs="Georgia" w:eastAsia="Georgia" w:hAnsi="Georgia"/>
          <w:b/>
          <w:bCs/>
          <w:color w:val="111111"/>
          <w:sz w:val="26"/>
          <w:szCs w:val="26"/>
        </w:rPr>
        <w:t xml:space="preserve">2.  Vec3(T, R, V): The Space</w:t>
      </w:r>
    </w:p>
    <w:p>
      <w:pPr>
        <w:spacing w:after="180" w:before="0"/>
        <w:jc w:val="both"/>
      </w:pPr>
      <w:r>
        <w:rPr>
          <w:rFonts w:ascii="Georgia" w:cs="Georgia" w:eastAsia="Georgia" w:hAnsi="Georgia"/>
          <w:sz w:val="22"/>
          <w:szCs w:val="22"/>
        </w:rPr>
        <w:t xml:space="preserve">Vec3(T, R, V) is a point in the bounded cube [−1, +1]³. Each axis represents a distinct epistemic question about a result. The axes are non-derivable — none can be computed from the others — but they are not statistically or causally independent: actions that move T will often move R, and the coupling between them is part of the structure that makes Vec3 useful. The independence claim is epistemic: each axis answers a question the others cannot.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Axis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Range</w:t>
            </w:r>
          </w:p>
        </w:tc>
        <w:tc>
          <w:tcPr>
            <w:tcW w:type="dxa" w:w="546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Question — non-derivable from the others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T — Truthness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[−1, +1]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Does the subject satisfy the primary criterion?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R — Reliability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[−1, +1]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Is the subject internally consistent across repeated measurement?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V — Validity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[−1, +1]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Is the subject meaningfully comparable to the reference at all?</w:t>
            </w:r>
          </w:p>
        </w:tc>
      </w:tr>
    </w:tbl>
    <w:p>
      <w:pPr>
        <w:spacing w:after="200" w:before="0"/>
      </w:pPr>
    </w:p>
    <w:p>
      <w:pPr>
        <w:spacing w:after="180" w:before="0"/>
        <w:jc w:val="both"/>
      </w:pPr>
      <w:r>
        <w:rPr>
          <w:rFonts w:ascii="Georgia" w:cs="Georgia" w:eastAsia="Georgia" w:hAnsi="Georgia"/>
          <w:sz w:val="22"/>
          <w:szCs w:val="22"/>
        </w:rPr>
        <w:t xml:space="preserve">T (Truthness) tracks whether the primary criterion was satisfied. Its sign is the closest analog to the scalar's binary output. R (Reliability) tracks whether the result is internally consistent across repeated measurement — whether it holds up under perturbation, rephrasing, or resampling. V (Validity) tracks whether the evaluation retains a meaningful reference frame — whether the comparison to the baseline is still well-posed. T asks if the answer is right. R asks if the answer is stable. V asks if the question still applies.</w:t>
      </w:r>
    </w:p>
    <w:p>
      <w:pPr>
        <w:spacing w:after="180" w:before="0"/>
        <w:jc w:val="both"/>
      </w:pPr>
      <w:r>
        <w:rPr>
          <w:rFonts w:ascii="Georgia" w:cs="Georgia" w:eastAsia="Georgia" w:hAnsi="Georgia"/>
          <w:sz w:val="22"/>
          <w:szCs w:val="22"/>
        </w:rPr>
        <w:t xml:space="preserve">Each axis ranges over [−1, +1], scored independently. Positive values indicate the property is present; negative values indicate its absence; values near zero indicate insufficient signal. Together, their sign pattern locates the state in one of ten named regions of the cube.</w:t>
      </w:r>
    </w:p>
    <w:p>
      <w:pPr>
        <w:pStyle w:val="Heading2"/>
        <w:spacing w:after="100" w:before="280"/>
      </w:pPr>
      <w:r>
        <w:rPr>
          <w:rFonts w:ascii="Georgia" w:cs="Georgia" w:eastAsia="Georgia" w:hAnsi="Georgia"/>
          <w:b/>
          <w:bCs/>
          <w:color w:val="333333"/>
          <w:sz w:val="22"/>
          <w:szCs w:val="22"/>
        </w:rPr>
        <w:t xml:space="preserve">2.1  Partial states</w:t>
      </w:r>
    </w:p>
    <w:p>
      <w:pPr>
        <w:spacing w:after="180" w:before="0"/>
        <w:jc w:val="both"/>
      </w:pPr>
      <w:r>
        <w:rPr>
          <w:rFonts w:ascii="Georgia" w:cs="Georgia" w:eastAsia="Georgia" w:hAnsi="Georgia"/>
          <w:sz w:val="22"/>
          <w:szCs w:val="22"/>
        </w:rPr>
        <w:t xml:space="preserve">Vec3 assumes all three axes are simultaneously defined. This assumption can fail. V becomes structurally undefined when the evaluation loses its reference frame entirely — not negative, but absent. R is unobservable when too few measurements exist to estimate consistency. A partial state records which axes are defined and what conditions would restore the indeterminate ones. It is not a point in the cube; it is a constraint on the cube. Operating on a partial state as if it were a full Vec3 — substituting zero for an undefined axis — misrepresents it: a missing V substituted as V = 0 would be classified as an orthogonal result, which is a specific and meaningful outcome distinct from an axis whose value is simply unknown.</w:t>
      </w:r>
    </w:p>
    <w:p>
      <w:pPr>
        <w:spacing w:after="80" w:before="0"/>
      </w:pPr>
    </w:p>
    <w:p>
      <w:pPr>
        <w:pStyle w:val="Heading1"/>
        <w:spacing w:after="160" w:before="400"/>
      </w:pPr>
      <w:r>
        <w:rPr>
          <w:rFonts w:ascii="Georgia" w:cs="Georgia" w:eastAsia="Georgia" w:hAnsi="Georgia"/>
          <w:b/>
          <w:bCs/>
          <w:color w:val="111111"/>
          <w:sz w:val="26"/>
          <w:szCs w:val="26"/>
        </w:rPr>
        <w:t xml:space="preserve">3.  Geometric Structure</w:t>
      </w:r>
    </w:p>
    <w:p>
      <w:pPr>
        <w:spacing w:after="180" w:before="0"/>
        <w:jc w:val="both"/>
      </w:pPr>
      <w:r>
        <w:rPr>
          <w:rFonts w:ascii="Georgia" w:cs="Georgia" w:eastAsia="Georgia" w:hAnsi="Georgia"/>
          <w:sz w:val="22"/>
          <w:szCs w:val="22"/>
        </w:rPr>
        <w:t xml:space="preserve">The cube [−1, +1]³ is not just a container for three numbers. It has geometry — and that geometry is where the framework's explanatory power lives.</w:t>
      </w:r>
    </w:p>
    <w:p>
      <w:pPr>
        <w:pStyle w:val="Heading2"/>
        <w:spacing w:after="100" w:before="280"/>
      </w:pPr>
      <w:r>
        <w:rPr>
          <w:rFonts w:ascii="Georgia" w:cs="Georgia" w:eastAsia="Georgia" w:hAnsi="Georgia"/>
          <w:b/>
          <w:bCs/>
          <w:color w:val="333333"/>
          <w:sz w:val="22"/>
          <w:szCs w:val="22"/>
        </w:rPr>
        <w:t xml:space="preserve">3.1  Magnitude and direction</w:t>
      </w:r>
    </w:p>
    <w:p>
      <w:pPr>
        <w:spacing w:after="180" w:before="0"/>
        <w:jc w:val="both"/>
      </w:pPr>
      <w:r>
        <w:rPr>
          <w:rFonts w:ascii="Georgia" w:cs="Georgia" w:eastAsia="Georgia" w:hAnsi="Georgia"/>
          <w:sz w:val="22"/>
          <w:szCs w:val="22"/>
        </w:rPr>
        <w:t xml:space="preserve">A Vec3 state is both a point and a direction from the origin. The Euclidean norm</w:t>
      </w:r>
    </w:p>
    <w:p>
      <w:pPr>
        <w:spacing w:after="60" w:before="60"/>
        <w:ind w:left="600"/>
      </w:pPr>
      <w:r>
        <w:rPr>
          <w:rFonts w:ascii="Courier New" w:cs="Courier New" w:eastAsia="Courier New" w:hAnsi="Courier New"/>
          <w:color w:val="222222"/>
          <w:sz w:val="18"/>
          <w:szCs w:val="18"/>
        </w:rPr>
        <w:t xml:space="preserve">|v| = √(T² + R² + V²)</w:t>
      </w:r>
    </w:p>
    <w:p>
      <w:pPr>
        <w:spacing w:after="180" w:before="0"/>
        <w:jc w:val="both"/>
      </w:pPr>
      <w:r>
        <w:rPr>
          <w:rFonts w:ascii="Georgia" w:cs="Georgia" w:eastAsia="Georgia" w:hAnsi="Georgia"/>
          <w:sz w:val="22"/>
          <w:szCs w:val="22"/>
        </w:rPr>
        <w:t xml:space="preserve">is the signal strength of the state — how much epistemic content it carries, independent of where it points. This is a design choice (the Euclidean norm treats the three axes as equally weighted); other norms are possible and would encode different assumptions about relative axis importance. Signal strength is not goodness: a state in the all-negative octant (Catastrophe) can have high magnitude. What magnitude captures is how definitively the state is located — a low-magnitude state is inconclusive regardless of its direction; a high-magnitude state carries strong signal regardless of whether that signal is favorable.</w:t>
      </w:r>
    </w:p>
    <w:p>
      <w:pPr>
        <w:spacing w:after="180" w:before="0"/>
        <w:jc w:val="both"/>
      </w:pPr>
      <w:r>
        <w:rPr>
          <w:rFonts w:ascii="Georgia" w:cs="Georgia" w:eastAsia="Georgia" w:hAnsi="Georgia"/>
          <w:sz w:val="22"/>
          <w:szCs w:val="22"/>
        </w:rPr>
        <w:t xml:space="preserve">Separating magnitude from direction separates two questions: how much epistemic progress has been made, and where it is oriented. The scalar collapses both into one number.</w:t>
      </w:r>
    </w:p>
    <w:p>
      <w:pPr>
        <w:pStyle w:val="Heading2"/>
        <w:spacing w:after="100" w:before="280"/>
      </w:pPr>
      <w:r>
        <w:rPr>
          <w:rFonts w:ascii="Georgia" w:cs="Georgia" w:eastAsia="Georgia" w:hAnsi="Georgia"/>
          <w:b/>
          <w:bCs/>
          <w:color w:val="333333"/>
          <w:sz w:val="22"/>
          <w:szCs w:val="22"/>
        </w:rPr>
        <w:t xml:space="preserve">3.2  Inter-axis coupling angles</w:t>
      </w:r>
    </w:p>
    <w:p>
      <w:pPr>
        <w:spacing w:after="180" w:before="0"/>
        <w:jc w:val="both"/>
      </w:pPr>
      <w:r>
        <w:rPr>
          <w:rFonts w:ascii="Georgia" w:cs="Georgia" w:eastAsia="Georgia" w:hAnsi="Georgia"/>
          <w:sz w:val="22"/>
          <w:szCs w:val="22"/>
        </w:rPr>
        <w:t xml:space="preserve">The cosine of the angle between any two axis components measures their coupling — whether they tend to move together, independently, or in opposition under typical actions:</w:t>
      </w:r>
    </w:p>
    <w:p>
      <w:pPr>
        <w:spacing w:after="60" w:before="60"/>
        <w:ind w:left="600"/>
      </w:pPr>
      <w:r>
        <w:rPr>
          <w:rFonts w:ascii="Courier New" w:cs="Courier New" w:eastAsia="Courier New" w:hAnsi="Courier New"/>
          <w:color w:val="222222"/>
          <w:sz w:val="18"/>
          <w:szCs w:val="18"/>
        </w:rPr>
        <w:t xml:space="preserve">cos(θ_TR) = (T · R) / (|T| · |R|)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cos(θ_TR)</w:t>
            </w:r>
          </w:p>
        </w:tc>
        <w:tc>
          <w:tcPr>
            <w:tcW w:type="dxa" w:w="776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Geometric meaning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Aligned — T and R move together; improving one tends to improve the other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  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Orthogonal — T and R are locally independent; changes in one carry no signal about the other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Anti-aligned — the Pyrrhic direction; improving T structurally degrades R</w:t>
            </w:r>
          </w:p>
        </w:tc>
      </w:tr>
    </w:tbl>
    <w:p>
      <w:pPr>
        <w:spacing w:after="200" w:before="0"/>
      </w:pPr>
    </w:p>
    <w:p>
      <w:pPr>
        <w:spacing w:after="180" w:before="0"/>
        <w:jc w:val="both"/>
      </w:pPr>
      <w:r>
        <w:rPr>
          <w:rFonts w:ascii="Georgia" w:cs="Georgia" w:eastAsia="Georgia" w:hAnsi="Georgia"/>
          <w:sz w:val="22"/>
          <w:szCs w:val="22"/>
        </w:rPr>
        <w:t xml:space="preserve">This gives geometric definitions of the named failure modes without reference to threshold values. A Pyrrhic Pass is not defined by a threshold on R — it is the anti-aligned direction in the (T, R) plane, where cos(θ_TR) &lt; 0. Goodhart gaming is not defined by a threshold on V — it is anti-alignment between T and V: cos(θ_TV) &lt; 0 while the evaluation signal remains formally intact. A Clean Pass is near-alignment across all three pairs. The threshold-based implementation of these conditions is an approximation of the underlying geometry; the angles are the exact structure the thresholds are approximating.</w:t>
      </w:r>
    </w:p>
    <w:p>
      <w:pPr>
        <w:spacing w:after="180" w:before="0"/>
        <w:jc w:val="both"/>
      </w:pPr>
      <w:r>
        <w:rPr>
          <w:rFonts w:ascii="Georgia" w:cs="Georgia" w:eastAsia="Georgia" w:hAnsi="Georgia"/>
          <w:sz w:val="22"/>
          <w:szCs w:val="22"/>
        </w:rPr>
        <w:t xml:space="preserve">Angular velocity — the rate of change of an inter-axis angle across evaluation cycles — is an earlier warning signal than raw axis values. A trajectory where dθ_TV/dn is increasing is rotating toward the Goodhart region before V has gone negative. This predictive capacity is available only because the space has angles to measure.</w:t>
      </w:r>
    </w:p>
    <w:p>
      <w:pPr>
        <w:pStyle w:val="Heading2"/>
        <w:spacing w:after="100" w:before="280"/>
      </w:pPr>
      <w:r>
        <w:rPr>
          <w:rFonts w:ascii="Georgia" w:cs="Georgia" w:eastAsia="Georgia" w:hAnsi="Georgia"/>
          <w:b/>
          <w:bCs/>
          <w:color w:val="333333"/>
          <w:sz w:val="22"/>
          <w:szCs w:val="22"/>
        </w:rPr>
        <w:t xml:space="preserve">3.3  The ten regions</w:t>
      </w:r>
    </w:p>
    <w:p>
      <w:pPr>
        <w:spacing w:after="180" w:before="0"/>
        <w:jc w:val="both"/>
      </w:pPr>
      <w:r>
        <w:rPr>
          <w:rFonts w:ascii="Georgia" w:cs="Georgia" w:eastAsia="Georgia" w:hAnsi="Georgia"/>
          <w:sz w:val="22"/>
          <w:szCs w:val="22"/>
        </w:rPr>
        <w:t xml:space="preserve">The joint sign pattern of T, R, and V partitions the cube into ten named regions. Five are accessible to scalar evaluation — they are distinguishable by T alone. Five are not: they require the (T, R) or (T, V) planes to separate.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560"/>
        <w:gridCol w:w="1300"/>
        <w:gridCol w:w="1300"/>
      </w:tblGrid>
      <w:tr>
        <w:tc>
          <w:tcPr>
            <w:tcW w:type="dxa" w:w="21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Region</w:t>
            </w:r>
          </w:p>
        </w:tc>
        <w:tc>
          <w:tcPr>
            <w:tcW w:type="dxa" w:w="21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Vec3 signature</w:t>
            </w:r>
          </w:p>
        </w:tc>
        <w:tc>
          <w:tcPr>
            <w:tcW w:type="dxa" w:w="256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Geometric character</w:t>
            </w:r>
          </w:p>
        </w:tc>
        <w:tc>
          <w:tcPr>
            <w:tcW w:type="dxa" w:w="13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Action</w:t>
            </w:r>
          </w:p>
        </w:tc>
        <w:tc>
          <w:tcPr>
            <w:tcW w:type="dxa" w:w="13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center"/>
            </w:pPr>
            <w:r>
              <w:rPr>
                <w:rFonts w:ascii="Georgia" w:cs="Georgia" w:eastAsia="Georgia" w:hAnsi="Georgia"/>
                <w:b/>
                <w:bCs/>
                <w:i w:val="false"/>
                <w:iCs w:val="false"/>
                <w:color w:val="000000"/>
                <w:sz w:val="18"/>
                <w:szCs w:val="18"/>
              </w:rPr>
              <w:t xml:space="preserve">Invisible to scalar?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Clean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≈0R, ≈0V)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Interior, positive octant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Accept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000000"/>
                <w:sz w:val="18"/>
                <w:szCs w:val="18"/>
              </w:rPr>
              <w:t xml:space="preserve"/>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Clean Failure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≈0R, ≈0V)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Interior, T-negative face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Reject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000000"/>
                <w:sz w:val="18"/>
                <w:szCs w:val="18"/>
              </w:rPr>
              <w:t xml:space="preserve"/>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Pyrrhic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−R, ≈0V)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Anti-aligned T-R, positive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Hold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CC4444"/>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Broken Failure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−R, ≈0V)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Anti-aligned T-R, negative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Rollback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CC4444"/>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Orthogonal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≈0R, −V)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V-negative half, positive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Reframe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CC4444"/>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Orthogonal Fail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≈0R, −V)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V-negative half, negative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Reframe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CC4444"/>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Goodhart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R≥θ, V≥θ)</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High-R, high-V sector; dist anomaly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Reject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CC4444"/>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Goodhart Fail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R≥θ, V≥θ)</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High-R, high-V sector; dist anomaly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Audit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CC4444"/>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Paradox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−R, −V)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All-conflict vertex vicinity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Audit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CC4444"/>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Catastrophe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(−T, −R, −V)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iCs/>
                <w:color w:val="000000"/>
                <w:sz w:val="18"/>
                <w:szCs w:val="18"/>
              </w:rPr>
              <w:t xml:space="preserve">All-negative octant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Diagnostic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center"/>
            </w:pPr>
            <w:r>
              <w:rPr>
                <w:rFonts w:ascii="Georgia" w:cs="Georgia" w:eastAsia="Georgia" w:hAnsi="Georgia"/>
                <w:b w:val="false"/>
                <w:bCs w:val="false"/>
                <w:i w:val="false"/>
                <w:iCs w:val="false"/>
                <w:color w:val="CC4444"/>
                <w:sz w:val="18"/>
                <w:szCs w:val="18"/>
              </w:rPr>
              <w:t xml:space="preserve">✕</w:t>
            </w:r>
          </w:p>
        </w:tc>
      </w:tr>
    </w:tbl>
    <w:p>
      <w:pPr>
        <w:spacing w:after="200" w:before="0"/>
      </w:pPr>
    </w:p>
    <w:p>
      <w:pPr>
        <w:spacing w:after="180" w:before="0"/>
        <w:jc w:val="both"/>
      </w:pPr>
      <w:r>
        <w:rPr>
          <w:rFonts w:ascii="Georgia" w:cs="Georgia" w:eastAsia="Georgia" w:hAnsi="Georgia"/>
          <w:sz w:val="22"/>
          <w:szCs w:val="22"/>
        </w:rPr>
        <w:t xml:space="preserve">Goodhart is not a sign-pattern region. It is a pre-check that fires when R and V both exceed a threshold θ while the raw structural distance between result and reference exceeds a threshold δ. High R alone is compatible with a genuine result. High V alone is compatible with a genuine result. Their conjunction with a structural distance anomaly is the geometric signature of evaluation gaming: the result has drifted in raw structure while maintaining apparent coherence and comparability — the angular condition cos(θ_TV) &lt; 0 expressed as a discrete check over observed quantities.</w:t>
      </w:r>
    </w:p>
    <w:p>
      <w:pPr>
        <w:pStyle w:val="Heading2"/>
        <w:spacing w:after="100" w:before="280"/>
      </w:pPr>
      <w:r>
        <w:rPr>
          <w:rFonts w:ascii="Georgia" w:cs="Georgia" w:eastAsia="Georgia" w:hAnsi="Georgia"/>
          <w:b/>
          <w:bCs/>
          <w:color w:val="333333"/>
          <w:sz w:val="22"/>
          <w:szCs w:val="22"/>
        </w:rPr>
        <w:t xml:space="preserve">3.4  Trajectory structure</w:t>
      </w:r>
    </w:p>
    <w:p>
      <w:pPr>
        <w:spacing w:after="180" w:before="0"/>
        <w:jc w:val="both"/>
      </w:pPr>
      <w:r>
        <w:rPr>
          <w:rFonts w:ascii="Georgia" w:cs="Georgia" w:eastAsia="Georgia" w:hAnsi="Georgia"/>
          <w:sz w:val="22"/>
          <w:szCs w:val="22"/>
        </w:rPr>
        <w:t xml:space="preserve">An epistemic state evolves as actions are applied — a sequence of Vec3 points tracing a path through the cube. The geometry of that path encodes the dynamics of epistemic progress, independent of the specific domain.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Trajectory type</w:t>
            </w:r>
          </w:p>
        </w:tc>
        <w:tc>
          <w:tcPr>
            <w:tcW w:type="dxa" w:w="656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Geometric signature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Clean convergence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Magnitude growing, angles stable — signal strengthening in a fixed direction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Epistemic reallocation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Magnitude stable, angles rotating — effort redistributed without net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Drift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Magnitude growing, angles rotating — apparent progress while inquiry direction shifts; precursor to evaluation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Cyclic 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Magnitude constant, arg(z) cycling — the T-R plane equivalent of spinning in place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Goodhart approach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Magnitude growing toward high-R, high-V sector while structural distance widens</w:t>
            </w:r>
          </w:p>
        </w:tc>
      </w:tr>
    </w:tbl>
    <w:p>
      <w:pPr>
        <w:spacing w:after="200" w:before="0"/>
      </w:pPr>
    </w:p>
    <w:p>
      <w:pPr>
        <w:spacing w:after="180" w:before="0"/>
        <w:jc w:val="both"/>
      </w:pPr>
      <w:r>
        <w:rPr>
          <w:rFonts w:ascii="Georgia" w:cs="Georgia" w:eastAsia="Georgia" w:hAnsi="Georgia"/>
          <w:sz w:val="22"/>
          <w:szCs w:val="22"/>
        </w:rPr>
        <w:t xml:space="preserve">The five trajectory types are mutually distinguishable only in three dimensions. Cyclic failure — the T-R coupling cycling without net progress — is invisible to a scalar because T may hold constant while the cycle operates entirely in the (T, R) plane. Goodhart approach is invisible because T may be rising while the structural distance anomaly accumulates in the (R, V) plane. The scalar sees only the T component of each trajectory type.</w:t>
      </w:r>
    </w:p>
    <w:p>
      <w:pPr>
        <w:spacing w:after="180" w:before="0"/>
        <w:jc w:val="both"/>
      </w:pPr>
      <w:r>
        <w:rPr>
          <w:rFonts w:ascii="Georgia" w:cs="Georgia" w:eastAsia="Georgia" w:hAnsi="Georgia"/>
          <w:sz w:val="22"/>
          <w:szCs w:val="22"/>
        </w:rPr>
        <w:t xml:space="preserve">Path dependence follows from the non-commutativity of the actions that produce these trajectories: if actions A then B produce a different final state than B then A, the field over action space is non-conservative. This is the algebraic consequence of the off-diagonal structure of action transforms — addressed in the Mathematics of Vec3 — but its epistemic implication is direct: the trajectory, not just the endpoint, carries information about what the accumulated evidence actually reflects.</w:t>
      </w:r>
    </w:p>
    <w:p>
      <w:pPr>
        <w:pStyle w:val="Heading2"/>
        <w:spacing w:after="100" w:before="280"/>
      </w:pPr>
      <w:r>
        <w:rPr>
          <w:rFonts w:ascii="Georgia" w:cs="Georgia" w:eastAsia="Georgia" w:hAnsi="Georgia"/>
          <w:b/>
          <w:bCs/>
          <w:color w:val="333333"/>
          <w:sz w:val="22"/>
          <w:szCs w:val="22"/>
        </w:rPr>
        <w:t xml:space="preserve">3.5  Attractor geometry</w:t>
      </w:r>
    </w:p>
    <w:p>
      <w:pPr>
        <w:spacing w:after="180" w:before="0"/>
        <w:jc w:val="both"/>
      </w:pPr>
      <w:r>
        <w:rPr>
          <w:rFonts w:ascii="Georgia" w:cs="Georgia" w:eastAsia="Georgia" w:hAnsi="Georgia"/>
          <w:sz w:val="22"/>
          <w:szCs w:val="22"/>
        </w:rPr>
        <w:t xml:space="preserve">Under optimization pressure — any process that repeatedly applies actions in the direction of improving a metric — the cube develops attractors: directions toward which trajectories naturally flow. Two attractors are geometrically distinct and opposite in character.</w:t>
      </w:r>
    </w:p>
    <w:p>
      <w:pPr>
        <w:spacing w:after="180" w:before="0"/>
        <w:jc w:val="both"/>
      </w:pPr>
      <w:r>
        <w:rPr>
          <w:rFonts w:ascii="Georgia" w:cs="Georgia" w:eastAsia="Georgia" w:hAnsi="Georgia"/>
          <w:sz w:val="22"/>
          <w:szCs w:val="22"/>
        </w:rPr>
        <w:t xml:space="preserve">The genuine target is the region of high positive T, stable R, and stable V. It is an attractor under actions that genuinely improve the underlying property: the trajectory converges on it, and it is stable under small perturbations. R stability is the observable proxy for this stability — a state in the genuine target region is robust across perturbations of the evaluation conditions.</w:t>
      </w:r>
    </w:p>
    <w:p>
      <w:pPr>
        <w:spacing w:after="180" w:before="0"/>
        <w:jc w:val="both"/>
      </w:pPr>
      <w:r>
        <w:rPr>
          <w:rFonts w:ascii="Georgia" w:cs="Georgia" w:eastAsia="Georgia" w:hAnsi="Georgia"/>
          <w:sz w:val="22"/>
          <w:szCs w:val="22"/>
        </w:rPr>
        <w:t xml:space="preserve">The Goodhart attractor is the high-T, high-R, high-V region reached by actions that improve the evaluation signal without improving the underlying property. It is an attractor under metric-optimizing actions: the trajectory drifts toward it when optimization pressure is present and the metric is imperfectly aligned with the property it proxies. The structural distance anomaly is what distinguishes this attractor from the genuine target — both have high T, R, and V, but their positions in the full cube, including the structural distance dimension, are different.</w:t>
      </w:r>
    </w:p>
    <w:p>
      <w:pPr>
        <w:spacing w:after="180" w:before="0"/>
        <w:jc w:val="both"/>
      </w:pPr>
      <w:r>
        <w:rPr>
          <w:rFonts w:ascii="Georgia" w:cs="Georgia" w:eastAsia="Georgia" w:hAnsi="Georgia"/>
          <w:sz w:val="22"/>
          <w:szCs w:val="22"/>
        </w:rPr>
        <w:t xml:space="preserve">The Pyrrhic direction is not an attractor but a passage: trajectories can drift through it when actions improve T at the cost of R — a transient state that, if undetected, becomes the starting point for further optimization on a fragile base.</w:t>
      </w:r>
    </w:p>
    <w:p>
      <w:pPr>
        <w:spacing w:after="80" w:before="0"/>
      </w:pPr>
    </w:p>
    <w:p>
      <w:pPr>
        <w:pStyle w:val="Heading1"/>
        <w:spacing w:after="160" w:before="400"/>
      </w:pPr>
      <w:r>
        <w:rPr>
          <w:rFonts w:ascii="Georgia" w:cs="Georgia" w:eastAsia="Georgia" w:hAnsi="Georgia"/>
          <w:b/>
          <w:bCs/>
          <w:color w:val="111111"/>
          <w:sz w:val="26"/>
          <w:szCs w:val="26"/>
        </w:rPr>
        <w:t xml:space="preserve">4.  Implications of Three-Dimensional Structure</w:t>
      </w:r>
    </w:p>
    <w:p>
      <w:pPr>
        <w:pStyle w:val="Heading2"/>
        <w:spacing w:after="100" w:before="280"/>
      </w:pPr>
      <w:r>
        <w:rPr>
          <w:rFonts w:ascii="Georgia" w:cs="Georgia" w:eastAsia="Georgia" w:hAnsi="Georgia"/>
          <w:b/>
          <w:bCs/>
          <w:color w:val="333333"/>
          <w:sz w:val="22"/>
          <w:szCs w:val="22"/>
        </w:rPr>
        <w:t xml:space="preserve">4.1  Information density of epistemic history</w:t>
      </w:r>
    </w:p>
    <w:p>
      <w:pPr>
        <w:spacing w:after="180" w:before="0"/>
        <w:jc w:val="both"/>
      </w:pPr>
      <w:r>
        <w:rPr>
          <w:rFonts w:ascii="Georgia" w:cs="Georgia" w:eastAsia="Georgia" w:hAnsi="Georgia"/>
          <w:sz w:val="22"/>
          <w:szCs w:val="22"/>
        </w:rPr>
        <w:t xml:space="preserve">A scalar history records one bit per cycle: pass or fail. A Vec3 history records which of ten regions the state occupied, which axis fired, which coupling angle was active, and what the trajectory type was. The information density difference is not marginal. A reasoning system — human or automated — reading a Vec3 history can distinguish a genuine falsification (Clean Failure) from internal damage (Broken Failure) from evaluation gaming (Goodhart) from an incomparable result (Orthogonal) from a fragile success (Pyrrhic). Under the scalar, all five look identical in sign and adjacent in value. The distinction matters because each region implies a different next action: iterate, rollback, audit the evaluation signal, reframe the criterion, or investigate internal consistency before proceeding.</w:t>
      </w:r>
    </w:p>
    <w:p>
      <w:pPr>
        <w:pStyle w:val="Heading2"/>
        <w:spacing w:after="100" w:before="280"/>
      </w:pPr>
      <w:r>
        <w:rPr>
          <w:rFonts w:ascii="Georgia" w:cs="Georgia" w:eastAsia="Georgia" w:hAnsi="Georgia"/>
          <w:b/>
          <w:bCs/>
          <w:color w:val="333333"/>
          <w:sz w:val="22"/>
          <w:szCs w:val="22"/>
        </w:rPr>
        <w:t xml:space="preserve">4.2  Population-level geometry</w:t>
      </w:r>
    </w:p>
    <w:p>
      <w:pPr>
        <w:spacing w:after="180" w:before="0"/>
        <w:jc w:val="both"/>
      </w:pPr>
      <w:r>
        <w:rPr>
          <w:rFonts w:ascii="Georgia" w:cs="Georgia" w:eastAsia="Georgia" w:hAnsi="Georgia"/>
          <w:sz w:val="22"/>
          <w:szCs w:val="22"/>
        </w:rPr>
        <w:t xml:space="preserve">When multiple independent evaluations produce Vec3 states, the dot product between any two states measures their epistemic agreement:</w:t>
      </w:r>
    </w:p>
    <w:p>
      <w:pPr>
        <w:spacing w:after="60" w:before="60"/>
        <w:ind w:left="600"/>
      </w:pPr>
      <w:r>
        <w:rPr>
          <w:rFonts w:ascii="Courier New" w:cs="Courier New" w:eastAsia="Courier New" w:hAnsi="Courier New"/>
          <w:color w:val="222222"/>
          <w:sz w:val="18"/>
          <w:szCs w:val="18"/>
        </w:rPr>
        <w:t xml:space="preserve">v₁ · v₂ = |v₁||v₂| cosθ</w:t>
      </w:r>
    </w:p>
    <w:p>
      <w:pPr>
        <w:spacing w:after="180" w:before="0"/>
        <w:jc w:val="both"/>
      </w:pPr>
      <w:r>
        <w:rPr>
          <w:rFonts w:ascii="Georgia" w:cs="Georgia" w:eastAsia="Georgia" w:hAnsi="Georgia"/>
          <w:sz w:val="22"/>
          <w:szCs w:val="22"/>
        </w:rPr>
        <w:t xml:space="preserve">Orthogonality — dot product near zero — is the geometric condition for genuine complementarity: the two evaluations are covering independent dimensions of the problem rather than confirming or contradicting each other. A result confirmed by orthogonal independent evaluations is structurally more robust than one confirmed by near-parallel evaluations, because orthogonal coverage implies stability across independent inquiry directions. This distinction is unavailable to scalar aggregation, which treats all confirming results as equivalent regardless of their geometric relationship.</w:t>
      </w:r>
    </w:p>
    <w:p>
      <w:pPr>
        <w:spacing w:after="180" w:before="0"/>
        <w:jc w:val="both"/>
      </w:pPr>
      <w:r>
        <w:rPr>
          <w:rFonts w:ascii="Georgia" w:cs="Georgia" w:eastAsia="Georgia" w:hAnsi="Georgia"/>
          <w:sz w:val="22"/>
          <w:szCs w:val="22"/>
        </w:rPr>
        <w:t xml:space="preserve">The cross product v₁ × v₂ points in the direction of Vec3 space that neither evaluation has explored — the natural direction for a synthesizing inquiry that extends rather than duplicates what each established independently.</w:t>
      </w:r>
    </w:p>
    <w:p>
      <w:pPr>
        <w:pStyle w:val="Heading2"/>
        <w:spacing w:after="100" w:before="280"/>
      </w:pPr>
      <w:r>
        <w:rPr>
          <w:rFonts w:ascii="Georgia" w:cs="Georgia" w:eastAsia="Georgia" w:hAnsi="Georgia"/>
          <w:b/>
          <w:bCs/>
          <w:color w:val="333333"/>
          <w:sz w:val="22"/>
          <w:szCs w:val="22"/>
        </w:rPr>
        <w:t xml:space="preserve">4.3  Mathematical extensions</w:t>
      </w:r>
    </w:p>
    <w:p>
      <w:pPr>
        <w:spacing w:after="180" w:before="0"/>
        <w:jc w:val="both"/>
      </w:pPr>
      <w:r>
        <w:rPr>
          <w:rFonts w:ascii="Georgia" w:cs="Georgia" w:eastAsia="Georgia" w:hAnsi="Georgia"/>
          <w:sz w:val="22"/>
          <w:szCs w:val="22"/>
        </w:rPr>
        <w:t xml:space="preserve">The geometric structure of Vec3 supports a complete mathematical treatment: action transforms as 3×3 matrices whose eigenvectors are stable inquiry modes and whose determinant encodes irreversibility; a Jacobian whose off-diagonal entries are where the cross-axis failure modes originate; complex embedding z = T + iR that maps the T-R plane onto ℂ and makes Goodhart leakage the anti-holomorphic component of the Wirtinger decomposition; spectral analysis of evaluation trajectories that identifies cyclic failures as frequency-domain features. These are developed in full in the companion paper Mathematics of Vec3. The present paper treats the geometric framework; the mathematics paper treats its formal consequences.</w:t>
      </w:r>
    </w:p>
    <w:p>
      <w:pPr>
        <w:spacing w:after="80" w:before="0"/>
      </w:pPr>
    </w:p>
    <w:p>
      <w:pPr>
        <w:pStyle w:val="Heading1"/>
        <w:spacing w:after="160" w:before="400"/>
      </w:pPr>
      <w:r>
        <w:rPr>
          <w:rFonts w:ascii="Georgia" w:cs="Georgia" w:eastAsia="Georgia" w:hAnsi="Georgia"/>
          <w:b/>
          <w:bCs/>
          <w:color w:val="111111"/>
          <w:sz w:val="26"/>
          <w:szCs w:val="26"/>
        </w:rPr>
        <w:t xml:space="preserve">5.  One Instantiation: Automated Evaluation</w:t>
      </w:r>
    </w:p>
    <w:p>
      <w:pPr>
        <w:spacing w:after="180" w:before="0"/>
        <w:jc w:val="both"/>
      </w:pPr>
      <w:r>
        <w:rPr>
          <w:rFonts w:ascii="Georgia" w:cs="Georgia" w:eastAsia="Georgia" w:hAnsi="Georgia"/>
          <w:sz w:val="22"/>
          <w:szCs w:val="22"/>
        </w:rPr>
        <w:t xml:space="preserve">The geometric framework is domain-general. What follows is one instantiation: automated evaluation of AI system outputs, where T tracks whether a held-out metric improved, R tracks internal consistency across evaluation runs, and V tracks whether the evaluation retains a valid reference frame. This instantiation makes the framework concrete and demonstrates what the geometric structure implies for a working system. It is not the only instantiation, nor the primary subject of the framework.</w:t>
      </w:r>
    </w:p>
    <w:p>
      <w:pPr>
        <w:pStyle w:val="Heading2"/>
        <w:spacing w:after="100" w:before="280"/>
      </w:pPr>
      <w:r>
        <w:rPr>
          <w:rFonts w:ascii="Georgia" w:cs="Georgia" w:eastAsia="Georgia" w:hAnsi="Georgia"/>
          <w:b/>
          <w:bCs/>
          <w:color w:val="333333"/>
          <w:sz w:val="22"/>
          <w:szCs w:val="22"/>
        </w:rPr>
        <w:t xml:space="preserve">5.1  Axis scoring</w:t>
      </w:r>
    </w:p>
    <w:p>
      <w:pPr>
        <w:spacing w:after="180" w:before="0"/>
        <w:jc w:val="both"/>
      </w:pPr>
      <w:r>
        <w:rPr>
          <w:rFonts w:ascii="Georgia" w:cs="Georgia" w:eastAsia="Georgia" w:hAnsi="Georgia"/>
          <w:sz w:val="22"/>
          <w:szCs w:val="22"/>
        </w:rPr>
        <w:t xml:space="preserve">All three axes are scored deterministically from signals already present in standard pipelines; no additional model calls are required. To account for sampling variance, each evaluation is run N times (default: 3) and aggregated into a RunScore carrying the mean Vec3, per-axis standard deviation, scalar magnitude, and scalar spread.</w:t>
      </w:r>
    </w:p>
    <w:p>
      <w:pPr>
        <w:spacing w:after="24" w:before="24"/>
        <w:ind w:left="600"/>
      </w:pPr>
      <w:r>
        <w:rPr>
          <w:rFonts w:ascii="Courier New" w:cs="Courier New" w:eastAsia="Courier New" w:hAnsi="Courier New"/>
          <w:color w:val="222222"/>
          <w:sz w:val="18"/>
          <w:szCs w:val="18"/>
        </w:rPr>
        <w:t xml:space="preserve">@dataclass</w:t>
      </w:r>
    </w:p>
    <w:p>
      <w:pPr>
        <w:spacing w:after="24" w:before="24"/>
        <w:ind w:left="600"/>
      </w:pPr>
      <w:r>
        <w:rPr>
          <w:rFonts w:ascii="Courier New" w:cs="Courier New" w:eastAsia="Courier New" w:hAnsi="Courier New"/>
          <w:color w:val="222222"/>
          <w:sz w:val="18"/>
          <w:szCs w:val="18"/>
        </w:rPr>
        <w:t xml:space="preserve">class Vec3:</w:t>
      </w:r>
    </w:p>
    <w:p>
      <w:pPr>
        <w:spacing w:after="24" w:before="24"/>
        <w:ind w:left="600"/>
      </w:pPr>
      <w:r>
        <w:rPr>
          <w:rFonts w:ascii="Courier New" w:cs="Courier New" w:eastAsia="Courier New" w:hAnsi="Courier New"/>
          <w:color w:val="222222"/>
          <w:sz w:val="18"/>
          <w:szCs w:val="18"/>
        </w:rPr>
        <w:t xml:space="preserve">    truthness:   float   # -1 (failed)       →  +1 (passed)</w:t>
      </w:r>
    </w:p>
    <w:p>
      <w:pPr>
        <w:spacing w:after="24" w:before="24"/>
        <w:ind w:left="600"/>
      </w:pPr>
      <w:r>
        <w:rPr>
          <w:rFonts w:ascii="Courier New" w:cs="Courier New" w:eastAsia="Courier New" w:hAnsi="Courier New"/>
          <w:color w:val="222222"/>
          <w:sz w:val="18"/>
          <w:szCs w:val="18"/>
        </w:rPr>
        <w:t xml:space="preserve">    reliability: float   # -1 (inconsistent) →  +1 (stable)</w:t>
      </w:r>
    </w:p>
    <w:p>
      <w:pPr>
        <w:spacing w:after="24" w:before="24"/>
        <w:ind w:left="600"/>
      </w:pPr>
      <w:r>
        <w:rPr>
          <w:rFonts w:ascii="Courier New" w:cs="Courier New" w:eastAsia="Courier New" w:hAnsi="Courier New"/>
          <w:color w:val="222222"/>
          <w:sz w:val="18"/>
          <w:szCs w:val="18"/>
        </w:rPr>
        <w:t xml:space="preserve">    validity:    float   # -1 (incomparable) →  +1 (comparable)</w:t>
      </w:r>
    </w:p>
    <w:p>
      <w:pPr>
        <w:spacing w:after="24" w:before="24"/>
        <w:ind w:left="600"/>
      </w:pPr>
      <w:r>
        <w:rPr>
          <w:rFonts w:ascii="Courier New" w:cs="Courier New" w:eastAsia="Courier New" w:hAnsi="Courier New"/>
          <w:color w:val="222222"/>
          <w:sz w:val="18"/>
          <w:szCs w:val="18"/>
        </w:rPr>
        <w:t xml:space="preserve"/>
      </w:r>
    </w:p>
    <w:p>
      <w:pPr>
        <w:spacing w:after="24" w:before="24"/>
        <w:ind w:left="600"/>
      </w:pPr>
      <w:r>
        <w:rPr>
          <w:rFonts w:ascii="Courier New" w:cs="Courier New" w:eastAsia="Courier New" w:hAnsi="Courier New"/>
          <w:color w:val="222222"/>
          <w:sz w:val="18"/>
          <w:szCs w:val="18"/>
        </w:rPr>
        <w:t xml:space="preserve">@dataclass</w:t>
      </w:r>
    </w:p>
    <w:p>
      <w:pPr>
        <w:spacing w:after="24" w:before="24"/>
        <w:ind w:left="600"/>
      </w:pPr>
      <w:r>
        <w:rPr>
          <w:rFonts w:ascii="Courier New" w:cs="Courier New" w:eastAsia="Courier New" w:hAnsi="Courier New"/>
          <w:color w:val="222222"/>
          <w:sz w:val="18"/>
          <w:szCs w:val="18"/>
        </w:rPr>
        <w:t xml:space="preserve">class RunScore:</w:t>
      </w:r>
    </w:p>
    <w:p>
      <w:pPr>
        <w:spacing w:after="24" w:before="24"/>
        <w:ind w:left="600"/>
      </w:pPr>
      <w:r>
        <w:rPr>
          <w:rFonts w:ascii="Courier New" w:cs="Courier New" w:eastAsia="Courier New" w:hAnsi="Courier New"/>
          <w:color w:val="222222"/>
          <w:sz w:val="18"/>
          <w:szCs w:val="18"/>
        </w:rPr>
        <w:t xml:space="preserve">    mean:                Vec3</w:t>
      </w:r>
    </w:p>
    <w:p>
      <w:pPr>
        <w:spacing w:after="24" w:before="24"/>
        <w:ind w:left="600"/>
      </w:pPr>
      <w:r>
        <w:rPr>
          <w:rFonts w:ascii="Courier New" w:cs="Courier New" w:eastAsia="Courier New" w:hAnsi="Courier New"/>
          <w:color w:val="222222"/>
          <w:sz w:val="18"/>
          <w:szCs w:val="18"/>
        </w:rPr>
        <w:t xml:space="preserve">    std:                 Vec3</w:t>
      </w:r>
    </w:p>
    <w:p>
      <w:pPr>
        <w:spacing w:after="24" w:before="24"/>
        <w:ind w:left="600"/>
      </w:pPr>
      <w:r>
        <w:rPr>
          <w:rFonts w:ascii="Courier New" w:cs="Courier New" w:eastAsia="Courier New" w:hAnsi="Courier New"/>
          <w:color w:val="222222"/>
          <w:sz w:val="18"/>
          <w:szCs w:val="18"/>
        </w:rPr>
        <w:t xml:space="preserve">    mag:                 float  # ‖mean‖ — signal strength</w:t>
      </w:r>
    </w:p>
    <w:p>
      <w:pPr>
        <w:spacing w:after="24" w:before="24"/>
        <w:ind w:left="600"/>
      </w:pPr>
      <w:r>
        <w:rPr>
          <w:rFonts w:ascii="Courier New" w:cs="Courier New" w:eastAsia="Courier New" w:hAnsi="Courier New"/>
          <w:color w:val="222222"/>
          <w:sz w:val="18"/>
          <w:szCs w:val="18"/>
        </w:rPr>
        <w:t xml:space="preserve">    spread:              float  # ‖std‖  — run-to-run variability</w:t>
      </w:r>
    </w:p>
    <w:p>
      <w:pPr>
        <w:spacing w:after="24" w:before="24"/>
        <w:ind w:left="600"/>
      </w:pPr>
      <w:r>
        <w:rPr>
          <w:rFonts w:ascii="Courier New" w:cs="Courier New" w:eastAsia="Courier New" w:hAnsi="Courier New"/>
          <w:color w:val="222222"/>
          <w:sz w:val="18"/>
          <w:szCs w:val="18"/>
        </w:rPr>
        <w:t xml:space="preserve">    structural_distance: float  # used by Goodhart pre-check</w:t>
      </w:r>
    </w:p>
    <w:p>
      <w:pPr>
        <w:spacing w:after="160" w:before="0"/>
      </w:pPr>
    </w:p>
    <w:p>
      <w:pPr>
        <w:spacing w:after="180" w:before="0"/>
        <w:jc w:val="both"/>
      </w:pPr>
      <w:r>
        <w:rPr>
          <w:rFonts w:ascii="Georgia" w:cs="Georgia" w:eastAsia="Georgia" w:hAnsi="Georgia"/>
          <w:sz w:val="22"/>
          <w:szCs w:val="22"/>
        </w:rPr>
        <w:t xml:space="preserve">Truthness is a scaled tanh over the primary metric delta: T = tanh((run − ref) / (ref + ε) × 4), mapping a 25% relative improvement to T ≈ 0.96. Reliability is the worst-magnitude signal across internal consistency detectors; Validity is the worst-magnitude signal across comparability detectors. Both use worst-case aggregation so that a single strong signal in the wrong direction is not averaged away.</w:t>
      </w:r>
    </w:p>
    <w:p>
      <w:pPr>
        <w:spacing w:after="180" w:before="0"/>
        <w:jc w:val="both"/>
      </w:pPr>
      <w:r>
        <w:rPr>
          <w:rFonts w:ascii="Georgia" w:cs="Georgia" w:eastAsia="Georgia" w:hAnsi="Georgia"/>
          <w:sz w:val="22"/>
          <w:szCs w:val="22"/>
        </w:rPr>
        <w:t xml:space="preserve">Transforms are computed in ℝ³ and projected back to [−1, +1]³ by clamping. This means the linear algebra of action transforms (eigenvectors, Jacobians, determinants) operates as an approximation in the neighborhood of the current state; the cube boundary is a hard constraint that the linear model does not enforce.</w:t>
      </w:r>
    </w:p>
    <w:p>
      <w:pPr>
        <w:spacing w:after="180" w:before="0"/>
        <w:jc w:val="both"/>
      </w:pPr>
      <w:r>
        <w:rPr>
          <w:rFonts w:ascii="Georgia" w:cs="Georgia" w:eastAsia="Georgia" w:hAnsi="Georgia"/>
          <w:sz w:val="22"/>
          <w:szCs w:val="22"/>
        </w:rPr>
        <w:t xml:space="preserve">The detector expressions are templates requiring domain instantiation: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80"/>
        <w:gridCol w:w="1880"/>
        <w:gridCol w:w="1400"/>
      </w:tblGrid>
      <w:tr>
        <w:tc>
          <w:tcPr>
            <w:tcW w:type="dxa" w:w="16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Domain</w:t>
            </w:r>
          </w:p>
        </w:tc>
        <w:tc>
          <w:tcPr>
            <w:tcW w:type="dxa" w:w="22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T criterion</w:t>
            </w:r>
          </w:p>
        </w:tc>
        <w:tc>
          <w:tcPr>
            <w:tcW w:type="dxa" w:w="228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R signal (internal)</w:t>
            </w:r>
          </w:p>
        </w:tc>
        <w:tc>
          <w:tcPr>
            <w:tcW w:type="dxa" w:w="188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V signal (comparability)</w:t>
            </w:r>
          </w:p>
        </w:tc>
        <w:tc>
          <w:tcPr>
            <w:tcW w:type="dxa" w:w="14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Proxy metric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LLM reasoning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Held-out accuracy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Self-consistency across N samples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Prompt sensitivity / context shift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Step score vs. final score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Code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Functional pass 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Compilation + runtime error rate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Test suite coverage change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Syntax score vs. functional 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Top-1 accuracy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Confidence distribution entropy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Class distribution shift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Calibrated probability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ML training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Validation loss delta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Gradient norm variance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Parameter count 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Train vs. val loss gap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Agentic / tool 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Task completion 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Tool call success rate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Action space coverage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Step reward vs. task completion</w:t>
            </w:r>
          </w:p>
        </w:tc>
      </w:tr>
    </w:tbl>
    <w:p>
      <w:pPr>
        <w:spacing w:after="200" w:before="0"/>
      </w:pPr>
    </w:p>
    <w:p>
      <w:pPr>
        <w:pStyle w:val="Heading2"/>
        <w:spacing w:after="100" w:before="280"/>
      </w:pPr>
      <w:r>
        <w:rPr>
          <w:rFonts w:ascii="Georgia" w:cs="Georgia" w:eastAsia="Georgia" w:hAnsi="Georgia"/>
          <w:b/>
          <w:bCs/>
          <w:color w:val="333333"/>
          <w:sz w:val="22"/>
          <w:szCs w:val="22"/>
        </w:rPr>
        <w:t xml:space="preserve">5.2  Operational correspondence</w:t>
      </w:r>
    </w:p>
    <w:p>
      <w:pPr>
        <w:spacing w:after="180" w:before="0"/>
        <w:jc w:val="both"/>
      </w:pPr>
      <w:r>
        <w:rPr>
          <w:rFonts w:ascii="Georgia" w:cs="Georgia" w:eastAsia="Georgia" w:hAnsi="Georgia"/>
          <w:sz w:val="22"/>
          <w:szCs w:val="22"/>
        </w:rPr>
        <w:t xml:space="preserve">The system components map directly onto the mathematical objects of §3 and §4. Making this correspondence explicit prevents the implementation from drifting into a parallel theory disconnected from the geometric foundation.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System component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Mathematical object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What the correspondence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Resolver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Partition of [−1,+1]³ into named regions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Classification is geometry — which region a state occupies determines the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Wisdom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Empirical estimator of the diagonal Jacobian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Running mean of per-axis deltas per action approximates ∂Vec3/∂a; off-diagonal terms are the gap between current and full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Spread (RunScore)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Proxy for local curvature / Hessian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High spread suggests narrow basin — sensitivity to perturbation; low spread suggests broad basin — robustness. This is a hypothesis, not a derivation.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Goodhart pre-check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Discrete approximation of anti-alignment in (R,V) plane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Threshold θ approximates the angular condition |Im(z)|/|z| &gt; θ in the complex embedding; structural distance δ catches cases where angular condition alone is insufficient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Budget scalar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Integral of Wisdom confidence and stability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Continuous quantity derived from accumulated trajectory statistics; phase structure (explore/converge/exploit) is emergent, not coded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Stopping conditions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Basin detection and saturation in the Jacobian estimate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Loop terminates when the empirical Jacobian predicts no improving action — the discrete analogue of reaching a critical point</w:t>
            </w:r>
          </w:p>
        </w:tc>
      </w:tr>
    </w:tbl>
    <w:p>
      <w:pPr>
        <w:spacing w:after="200" w:before="0"/>
      </w:pPr>
    </w:p>
    <w:p>
      <w:pPr>
        <w:pStyle w:val="Heading2"/>
        <w:spacing w:after="100" w:before="280"/>
      </w:pPr>
      <w:r>
        <w:rPr>
          <w:rFonts w:ascii="Georgia" w:cs="Georgia" w:eastAsia="Georgia" w:hAnsi="Georgia"/>
          <w:b/>
          <w:bCs/>
          <w:color w:val="333333"/>
          <w:sz w:val="22"/>
          <w:szCs w:val="22"/>
        </w:rPr>
        <w:t xml:space="preserve">5.3  The evaluation loop</w:t>
      </w:r>
    </w:p>
    <w:p>
      <w:pPr>
        <w:spacing w:after="180" w:before="0"/>
        <w:jc w:val="both"/>
      </w:pPr>
      <w:r>
        <w:rPr>
          <w:rFonts w:ascii="Georgia" w:cs="Georgia" w:eastAsia="Georgia" w:hAnsi="Georgia"/>
          <w:sz w:val="22"/>
          <w:szCs w:val="22"/>
        </w:rPr>
        <w:t xml:space="preserve">The resolver maps a RunScore to one of six actions by partitioning the cube into regions. The Goodhart pre-check runs first; remaining cases follow T sign.</w:t>
      </w:r>
    </w:p>
    <w:p>
      <w:pPr>
        <w:spacing w:after="24" w:before="24"/>
        <w:ind w:left="600"/>
      </w:pPr>
      <w:r>
        <w:rPr>
          <w:rFonts w:ascii="Courier New" w:cs="Courier New" w:eastAsia="Courier New" w:hAnsi="Courier New"/>
          <w:color w:val="222222"/>
          <w:sz w:val="18"/>
          <w:szCs w:val="18"/>
        </w:rPr>
        <w:t xml:space="preserve">def resolve(r: RunScore, cfg: EvalConfig) -&gt; str:</w:t>
      </w:r>
    </w:p>
    <w:p>
      <w:pPr>
        <w:spacing w:after="24" w:before="24"/>
        <w:ind w:left="600"/>
      </w:pPr>
      <w:r>
        <w:rPr>
          <w:rFonts w:ascii="Courier New" w:cs="Courier New" w:eastAsia="Courier New" w:hAnsi="Courier New"/>
          <w:color w:val="222222"/>
          <w:sz w:val="18"/>
          <w:szCs w:val="18"/>
        </w:rPr>
        <w:t xml:space="preserve">    if r.mag    &lt; cfg.min_magnitude: return "keep_going"</w:t>
      </w:r>
    </w:p>
    <w:p>
      <w:pPr>
        <w:spacing w:after="24" w:before="24"/>
        <w:ind w:left="600"/>
      </w:pPr>
      <w:r>
        <w:rPr>
          <w:rFonts w:ascii="Courier New" w:cs="Courier New" w:eastAsia="Courier New" w:hAnsi="Courier New"/>
          <w:color w:val="222222"/>
          <w:sz w:val="18"/>
          <w:szCs w:val="18"/>
        </w:rPr>
        <w:t xml:space="preserve">    if r.spread &gt; cfg.max_spread:    return "keep_going"</w:t>
      </w:r>
    </w:p>
    <w:p>
      <w:pPr>
        <w:spacing w:after="24" w:before="24"/>
        <w:ind w:left="600"/>
      </w:pPr>
      <w:r>
        <w:rPr>
          <w:rFonts w:ascii="Courier New" w:cs="Courier New" w:eastAsia="Courier New" w:hAnsi="Courier New"/>
          <w:color w:val="222222"/>
          <w:sz w:val="18"/>
          <w:szCs w:val="18"/>
        </w:rPr>
        <w:t xml:space="preserve">    T, R, V = r.mean.truthness, r.mean.reliability, r.mean.validity</w:t>
      </w:r>
    </w:p>
    <w:p>
      <w:pPr>
        <w:spacing w:after="24" w:before="24"/>
        <w:ind w:left="600"/>
      </w:pPr>
      <w:r>
        <w:rPr>
          <w:rFonts w:ascii="Courier New" w:cs="Courier New" w:eastAsia="Courier New" w:hAnsi="Courier New"/>
          <w:color w:val="222222"/>
          <w:sz w:val="18"/>
          <w:szCs w:val="18"/>
        </w:rPr>
        <w:t xml:space="preserve">    g, d = cfg.goodhart_threshold, cfg.goodhart_distance</w:t>
      </w:r>
    </w:p>
    <w:p>
      <w:pPr>
        <w:spacing w:after="24" w:before="24"/>
        <w:ind w:left="600"/>
      </w:pPr>
      <w:r>
        <w:rPr>
          <w:rFonts w:ascii="Courier New" w:cs="Courier New" w:eastAsia="Courier New" w:hAnsi="Courier New"/>
          <w:color w:val="222222"/>
          <w:sz w:val="18"/>
          <w:szCs w:val="18"/>
        </w:rPr>
        <w:t xml:space="preserve">    if T &gt;  0.25 and R &gt; g and V &gt; g and r.structural_distance &gt; d:</w:t>
      </w:r>
    </w:p>
    <w:p>
      <w:pPr>
        <w:spacing w:after="24" w:before="24"/>
        <w:ind w:left="600"/>
      </w:pPr>
      <w:r>
        <w:rPr>
          <w:rFonts w:ascii="Courier New" w:cs="Courier New" w:eastAsia="Courier New" w:hAnsi="Courier New"/>
          <w:color w:val="222222"/>
          <w:sz w:val="18"/>
          <w:szCs w:val="18"/>
        </w:rPr>
        <w:t xml:space="preserve">        return "reject"                   # goodhart pass</w:t>
      </w:r>
    </w:p>
    <w:p>
      <w:pPr>
        <w:spacing w:after="24" w:before="24"/>
        <w:ind w:left="600"/>
      </w:pPr>
      <w:r>
        <w:rPr>
          <w:rFonts w:ascii="Courier New" w:cs="Courier New" w:eastAsia="Courier New" w:hAnsi="Courier New"/>
          <w:color w:val="222222"/>
          <w:sz w:val="18"/>
          <w:szCs w:val="18"/>
        </w:rPr>
        <w:t xml:space="preserve">    if T &lt; -0.25 and R &gt; g and V &gt; g and r.structural_distance &gt; d:</w:t>
      </w:r>
    </w:p>
    <w:p>
      <w:pPr>
        <w:spacing w:after="24" w:before="24"/>
        <w:ind w:left="600"/>
      </w:pPr>
      <w:r>
        <w:rPr>
          <w:rFonts w:ascii="Courier New" w:cs="Courier New" w:eastAsia="Courier New" w:hAnsi="Courier New"/>
          <w:color w:val="222222"/>
          <w:sz w:val="18"/>
          <w:szCs w:val="18"/>
        </w:rPr>
        <w:t xml:space="preserve">        return "reject"                   # goodhart failure</w:t>
      </w:r>
    </w:p>
    <w:p>
      <w:pPr>
        <w:spacing w:after="24" w:before="24"/>
        <w:ind w:left="600"/>
      </w:pPr>
      <w:r>
        <w:rPr>
          <w:rFonts w:ascii="Courier New" w:cs="Courier New" w:eastAsia="Courier New" w:hAnsi="Courier New"/>
          <w:color w:val="222222"/>
          <w:sz w:val="18"/>
          <w:szCs w:val="18"/>
        </w:rPr>
        <w:t xml:space="preserve">    if T &gt;  0.25 and R &lt; -0.3: return "hold"     # pyrrhic pass</w:t>
      </w:r>
    </w:p>
    <w:p>
      <w:pPr>
        <w:spacing w:after="24" w:before="24"/>
        <w:ind w:left="600"/>
      </w:pPr>
      <w:r>
        <w:rPr>
          <w:rFonts w:ascii="Courier New" w:cs="Courier New" w:eastAsia="Courier New" w:hAnsi="Courier New"/>
          <w:color w:val="222222"/>
          <w:sz w:val="18"/>
          <w:szCs w:val="18"/>
        </w:rPr>
        <w:t xml:space="preserve">    if T &lt; -0.25 and R &lt; -0.3: return "rollback" # broken failure</w:t>
      </w:r>
    </w:p>
    <w:p>
      <w:pPr>
        <w:spacing w:after="24" w:before="24"/>
        <w:ind w:left="600"/>
      </w:pPr>
      <w:r>
        <w:rPr>
          <w:rFonts w:ascii="Courier New" w:cs="Courier New" w:eastAsia="Courier New" w:hAnsi="Courier New"/>
          <w:color w:val="222222"/>
          <w:sz w:val="18"/>
          <w:szCs w:val="18"/>
        </w:rPr>
        <w:t xml:space="preserve">    if V &lt; -0.3:               return "reframe"  # orthogonal</w:t>
      </w:r>
    </w:p>
    <w:p>
      <w:pPr>
        <w:spacing w:after="24" w:before="24"/>
        <w:ind w:left="600"/>
      </w:pPr>
      <w:r>
        <w:rPr>
          <w:rFonts w:ascii="Courier New" w:cs="Courier New" w:eastAsia="Courier New" w:hAnsi="Courier New"/>
          <w:color w:val="222222"/>
          <w:sz w:val="18"/>
          <w:szCs w:val="18"/>
        </w:rPr>
        <w:t xml:space="preserve">    return "accept" if T &gt; 0.25 else "reject"</w:t>
      </w:r>
    </w:p>
    <w:p>
      <w:pPr>
        <w:spacing w:after="200" w:before="0"/>
      </w:pPr>
    </w:p>
    <w:p>
      <w:pPr>
        <w:spacing w:after="180" w:before="0"/>
        <w:jc w:val="both"/>
      </w:pPr>
      <w:r>
        <w:rPr>
          <w:rFonts w:ascii="Georgia" w:cs="Georgia" w:eastAsia="Georgia" w:hAnsi="Georgia"/>
          <w:sz w:val="22"/>
          <w:szCs w:val="22"/>
        </w:rPr>
        <w:t xml:space="preserve">Wisdom is the empirical Jacobian estimator: a per-action running mean over Vec3 deltas that, after N observations of a given action (default: 5), produces a confident prediction of where that action will move the current state. The current implementation approximates the diagonal of the Jacobian — per-axis delta per action, treating axes as locally independent. The off-diagonal entries, which encode cross-axis coupling and carry the strongest predictive structure, are the gap between current Wisdom and a full Jacobian estimator.</w:t>
      </w:r>
    </w:p>
    <w:p>
      <w:pPr>
        <w:spacing w:after="180" w:before="0"/>
        <w:jc w:val="both"/>
      </w:pPr>
      <w:r>
        <w:rPr>
          <w:rFonts w:ascii="Georgia" w:cs="Georgia" w:eastAsia="Georgia" w:hAnsi="Georgia"/>
          <w:sz w:val="22"/>
          <w:szCs w:val="22"/>
        </w:rPr>
        <w:t xml:space="preserve">Dynamic budgeting derives width and depth of search from the budget scalar — a continuous quantity built from Wisdom confidence and trajectory stability. The explore, converge, and exploit phases are emergent from this scalar; no code checks which phase the system is in. Stopping fires when the Jacobian estimate predicts no improving action (saturation), when the trajectory has converged to a stable basin, or when budget is exhausted.</w:t>
      </w:r>
    </w:p>
    <w:p>
      <w:pPr>
        <w:pStyle w:val="Heading2"/>
        <w:spacing w:after="100" w:before="280"/>
      </w:pPr>
      <w:r>
        <w:rPr>
          <w:rFonts w:ascii="Georgia" w:cs="Georgia" w:eastAsia="Georgia" w:hAnsi="Georgia"/>
          <w:b/>
          <w:bCs/>
          <w:color w:val="333333"/>
          <w:sz w:val="22"/>
          <w:szCs w:val="22"/>
        </w:rPr>
        <w:t xml:space="preserve">5.4  Worked example</w:t>
      </w:r>
    </w:p>
    <w:p>
      <w:pPr>
        <w:spacing w:after="180" w:before="0"/>
        <w:jc w:val="both"/>
      </w:pPr>
      <w:r>
        <w:rPr>
          <w:rFonts w:ascii="Georgia" w:cs="Georgia" w:eastAsia="Georgia" w:hAnsi="Georgia"/>
          <w:sz w:val="22"/>
          <w:szCs w:val="22"/>
        </w:rPr>
        <w:t xml:space="preserve">A language model is evaluated on a reasoning benchmark. Reference score: 72.4% held-out accuracy.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1160"/>
        <w:gridCol w:w="1000"/>
        <w:gridCol w:w="1600"/>
      </w:tblGrid>
      <w:tr>
        <w:tc>
          <w:tcPr>
            <w:tcW w:type="dxa" w:w="4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w:t>
            </w:r>
          </w:p>
        </w:tc>
        <w:tc>
          <w:tcPr>
            <w:tcW w:type="dxa" w:w="28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Intervention</w:t>
            </w:r>
          </w:p>
        </w:tc>
        <w:tc>
          <w:tcPr>
            <w:tcW w:type="dxa" w:w="24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Vec3 mean</w:t>
            </w:r>
          </w:p>
        </w:tc>
        <w:tc>
          <w:tcPr>
            <w:tcW w:type="dxa" w:w="116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Magnitude</w:t>
            </w:r>
          </w:p>
        </w:tc>
        <w:tc>
          <w:tcPr>
            <w:tcW w:type="dxa" w:w="10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Resolver</w:t>
            </w:r>
          </w:p>
        </w:tc>
        <w:tc>
          <w:tcPr>
            <w:tcW w:type="dxa" w:w="1600"/>
            <w:tcBorders>
              <w:top w:val="single" w:color="CCCCCC" w:sz="1"/>
              <w:left w:val="single" w:color="CCCCCC" w:sz="1"/>
              <w:bottom w:val="single" w:color="CCCCCC" w:sz="1"/>
              <w:right w:val="single" w:color="CCCCCC" w:sz="1"/>
            </w:tcBorders>
            <w:shd w:fill="F0F0F0" w:val="clear"/>
            <w:tcMar>
              <w:top w:type="dxa" w:w="80"/>
              <w:left w:type="dxa" w:w="130"/>
              <w:bottom w:type="dxa" w:w="80"/>
              <w:right w:type="dxa" w:w="130"/>
            </w:tcMar>
            <w:vAlign w:val="top"/>
          </w:tcPr>
          <w:p>
            <w:pPr>
              <w:spacing w:after="0" w:before="0"/>
              <w:jc w:val="left"/>
            </w:pPr>
            <w:r>
              <w:rPr>
                <w:rFonts w:ascii="Georgia" w:cs="Georgia" w:eastAsia="Georgia" w:hAnsi="Georgia"/>
                <w:b/>
                <w:bCs/>
                <w:i w:val="false"/>
                <w:iCs w:val="false"/>
                <w:color w:val="000000"/>
                <w:sz w:val="18"/>
                <w:szCs w:val="18"/>
              </w:rPr>
              <w:t xml:space="preserve">Note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Chain-of-thought prompting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(+0.71, +0.82, +0.04)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0.91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Reject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Goodhart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Structured reasoning scaffold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(+0.52, +0.04, +0.06)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0.52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Accept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Clean Pass — 73.8%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CoT at reduced temperature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Courier New" w:cs="Courier New" w:eastAsia="Courier New" w:hAnsi="Courier New"/>
                <w:b w:val="false"/>
                <w:bCs w:val="false"/>
                <w:i w:val="false"/>
                <w:iCs w:val="false"/>
                <w:color w:val="000000"/>
                <w:sz w:val="18"/>
                <w:szCs w:val="18"/>
              </w:rPr>
              <w:t xml:space="preserve">(+0.88, +0.06, +0.04)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0.88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Accept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0" w:before="0"/>
              <w:jc w:val="left"/>
            </w:pPr>
            <w:r>
              <w:rPr>
                <w:rFonts w:ascii="Georgia" w:cs="Georgia" w:eastAsia="Georgia" w:hAnsi="Georgia"/>
                <w:b w:val="false"/>
                <w:bCs w:val="false"/>
                <w:i w:val="false"/>
                <w:iCs w:val="false"/>
                <w:color w:val="000000"/>
                <w:sz w:val="18"/>
                <w:szCs w:val="18"/>
              </w:rPr>
              <w:t xml:space="preserve">Clean Win — 81.3%</w:t>
            </w:r>
          </w:p>
        </w:tc>
      </w:tr>
    </w:tbl>
    <w:p>
      <w:pPr>
        <w:spacing w:after="200" w:before="0"/>
      </w:pPr>
    </w:p>
    <w:p>
      <w:pPr>
        <w:spacing w:after="180" w:before="0"/>
        <w:jc w:val="both"/>
      </w:pPr>
      <w:r>
        <w:rPr>
          <w:rFonts w:ascii="Georgia" w:cs="Georgia" w:eastAsia="Georgia" w:hAnsi="Georgia"/>
          <w:sz w:val="22"/>
          <w:szCs w:val="22"/>
        </w:rPr>
        <w:t xml:space="preserve">Experiment 1 scores (+0.71, +0.82, +0.04): T is positive, but R and V both exceed the Goodhart threshold and structural distance is 0.64, exceeding δ. The state occupies the Goodhart region — high signal strength, wrong attractor. Resolver: reject. Experiment 2 addresses the failure mode directly; state is (+0.52, +0.04, +0.06) — interior positive octant, Clean Pass. Experiment 3, now from a valid baseline, reaches (+0.88, +0.06, +0.04). Clean Win.</w:t>
      </w:r>
    </w:p>
    <w:p>
      <w:pPr>
        <w:spacing w:after="180" w:before="0"/>
        <w:jc w:val="both"/>
      </w:pPr>
      <w:r>
        <w:rPr>
          <w:rFonts w:ascii="Georgia" w:cs="Georgia" w:eastAsia="Georgia" w:hAnsi="Georgia"/>
          <w:sz w:val="22"/>
          <w:szCs w:val="22"/>
        </w:rPr>
        <w:t xml:space="preserve">Binary evaluation accepts Experiment 1 and terminates. The Goodhart region is not visible to a scalar, so the 10.3 percentage point gap between Experiments 1 and 3 is not reachable. The difference is geometric: the scalar cannot distinguish the Goodhart attractor from the genuine target because both project to positive T.</w:t>
      </w:r>
    </w:p>
    <w:p>
      <w:pPr>
        <w:spacing w:after="80" w:before="0"/>
      </w:pPr>
    </w:p>
    <w:p>
      <w:pPr>
        <w:pStyle w:val="Heading1"/>
        <w:spacing w:after="160" w:before="400"/>
      </w:pPr>
      <w:r>
        <w:rPr>
          <w:rFonts w:ascii="Georgia" w:cs="Georgia" w:eastAsia="Georgia" w:hAnsi="Georgia"/>
          <w:b/>
          <w:bCs/>
          <w:color w:val="111111"/>
          <w:sz w:val="26"/>
          <w:szCs w:val="26"/>
        </w:rPr>
        <w:t xml:space="preserve">6.  Open Problems</w:t>
      </w:r>
    </w:p>
    <w:p>
      <w:pPr>
        <w:spacing w:after="180" w:before="0"/>
        <w:jc w:val="both"/>
      </w:pPr>
      <w:r>
        <w:rPr>
          <w:rFonts w:ascii="Georgia" w:cs="Georgia" w:eastAsia="Georgia" w:hAnsi="Georgia"/>
          <w:sz w:val="22"/>
          <w:szCs w:val="22"/>
        </w:rPr>
        <w:t xml:space="preserve">Ordered by proximity to current formalization. Detail thins with distance.</w:t>
      </w:r>
    </w:p>
    <w:p>
      <w:pPr>
        <w:spacing w:after="180" w:before="0"/>
        <w:jc w:val="both"/>
      </w:pPr>
      <w:r>
        <w:rPr>
          <w:rFonts w:ascii="Georgia" w:cs="Georgia" w:eastAsia="Georgia" w:hAnsi="Georgia"/>
          <w:b/>
          <w:bCs/>
          <w:sz w:val="22"/>
          <w:szCs w:val="22"/>
        </w:rPr>
        <w:t xml:space="preserve">Constraint manifold.  </w:t>
      </w:r>
      <w:r>
        <w:rPr>
          <w:rFonts w:ascii="Georgia" w:cs="Georgia" w:eastAsia="Georgia" w:hAnsi="Georgia"/>
          <w:sz w:val="22"/>
          <w:szCs w:val="22"/>
        </w:rPr>
        <w:t xml:space="preserve">The present treatment models Vec3 as living in the full cube [−1, +1]³, with linear algebra operating as a local ℝ³ approximation. If large regions of the cube are empirically unreachable in a given domain, Vec3 lives on a constrained submanifold. The manifold interpretation would unlock intrinsic curvature and geodesics as the correct notion of distance and optimal path; Riemannian geometry would replace the Euclidean analysis used throughout. Formalizing the manifold is a prerequisite for any domain-independent claim about optimal inquiry paths. Until then, the ℝ³ model is explicitly an approximation.</w:t>
      </w:r>
    </w:p>
    <w:p>
      <w:pPr>
        <w:spacing w:after="180" w:before="0"/>
        <w:jc w:val="both"/>
      </w:pPr>
      <w:r>
        <w:rPr>
          <w:rFonts w:ascii="Georgia" w:cs="Georgia" w:eastAsia="Georgia" w:hAnsi="Georgia"/>
          <w:b/>
          <w:bCs/>
          <w:sz w:val="22"/>
          <w:szCs w:val="22"/>
        </w:rPr>
        <w:t xml:space="preserve">Threshold calibration.  </w:t>
      </w:r>
      <w:r>
        <w:rPr>
          <w:rFonts w:ascii="Georgia" w:cs="Georgia" w:eastAsia="Georgia" w:hAnsi="Georgia"/>
          <w:sz w:val="22"/>
          <w:szCs w:val="22"/>
        </w:rPr>
        <w:t xml:space="preserve">The EvalConfig defaults — Goodhart threshold θ = 0.75, structural distance δ = 0.60, minimum magnitude 0.15, maximum spread 0.35 — are priors derived from ML training loop experience. Each threshold is an approximation of a geometric condition. Calibration against a held-out set of known-outcome cases is expected before production deployment in any new domain. Automating this calibration — maintaining a live calibration set that updates threshold estimates as outcomes are observed — is the nearest-term open problem.</w:t>
      </w:r>
    </w:p>
    <w:p>
      <w:pPr>
        <w:spacing w:after="180" w:before="0"/>
        <w:jc w:val="both"/>
      </w:pPr>
      <w:r>
        <w:rPr>
          <w:rFonts w:ascii="Georgia" w:cs="Georgia" w:eastAsia="Georgia" w:hAnsi="Georgia"/>
          <w:b/>
          <w:bCs/>
          <w:sz w:val="22"/>
          <w:szCs w:val="22"/>
        </w:rPr>
        <w:t xml:space="preserve">Full Jacobian estimation.  </w:t>
      </w:r>
      <w:r>
        <w:rPr>
          <w:rFonts w:ascii="Georgia" w:cs="Georgia" w:eastAsia="Georgia" w:hAnsi="Georgia"/>
          <w:sz w:val="22"/>
          <w:szCs w:val="22"/>
        </w:rPr>
        <w:t xml:space="preserve">Current Wisdom approximates the diagonal Jacobian — per-axis delta per action, treating axes as locally independent. Extending to full 3×k estimation would make the cross-axis coupling terms explicit and allow forecasting actions that improve T at the cost of V before the cost is observed. Requires a metric over action space so that the Jacobian can be interpolated between observed action points; defining that metric is the prerequisite.</w:t>
      </w:r>
    </w:p>
    <w:p>
      <w:pPr>
        <w:spacing w:after="180" w:before="0"/>
        <w:jc w:val="both"/>
      </w:pPr>
      <w:r>
        <w:rPr>
          <w:rFonts w:ascii="Georgia" w:cs="Georgia" w:eastAsia="Georgia" w:hAnsi="Georgia"/>
          <w:b/>
          <w:bCs/>
          <w:sz w:val="22"/>
          <w:szCs w:val="22"/>
        </w:rPr>
        <w:t xml:space="preserve">Other instantiations.  </w:t>
      </w:r>
      <w:r>
        <w:rPr>
          <w:rFonts w:ascii="Georgia" w:cs="Georgia" w:eastAsia="Georgia" w:hAnsi="Georgia"/>
          <w:sz w:val="22"/>
          <w:szCs w:val="22"/>
        </w:rPr>
        <w:t xml:space="preserve">The geometric framework is domain-general; the evaluation instantiation of §5 is one realization. Scientific reasoning, where T is hypothesis confirmation, R is replication consistency, and V is methodological comparability to the reference experiment, is a natural second domain. Formal argument assessment — where T is logical validity, R is internal consistency across formulations, and V is relevance to the claim — is a third. What varies across instantiations is the scoring of the axes; the geometry is shared.</w:t>
      </w:r>
    </w:p>
    <w:p>
      <w:pPr>
        <w:spacing w:after="180" w:before="0"/>
        <w:jc w:val="both"/>
      </w:pPr>
      <w:r>
        <w:rPr>
          <w:rFonts w:ascii="Georgia" w:cs="Georgia" w:eastAsia="Georgia" w:hAnsi="Georgia"/>
          <w:b/>
          <w:bCs/>
          <w:sz w:val="22"/>
          <w:szCs w:val="22"/>
        </w:rPr>
        <w:t xml:space="preserve">Lyapunov stability.  </w:t>
      </w:r>
      <w:r>
        <w:rPr>
          <w:rFonts w:ascii="Georgia" w:cs="Georgia" w:eastAsia="Georgia" w:hAnsi="Georgia"/>
          <w:sz w:val="22"/>
          <w:szCs w:val="22"/>
        </w:rPr>
        <w:t xml:space="preserve">A Lyapunov function over Vec3 space — a scalar decreasing monotonically along all valid trajectories — would certify that the evaluation loop cannot enter a cyclic failure or Goodhart basin under valid operation. A candidate: Φ = w₁(1−T)² + w₂(1+R)² + w₃(1+V)² + λ · commutator_penalty. Whether this condition can be enforced given the nonlinearity of detector corrections is the open theoretical question.</w:t>
      </w:r>
    </w:p>
    <w:p>
      <w:pPr>
        <w:spacing w:after="180" w:before="0"/>
        <w:jc w:val="both"/>
      </w:pPr>
      <w:r>
        <w:rPr>
          <w:rFonts w:ascii="Georgia" w:cs="Georgia" w:eastAsia="Georgia" w:hAnsi="Georgia"/>
          <w:b/>
          <w:bCs/>
          <w:sz w:val="22"/>
          <w:szCs w:val="22"/>
        </w:rPr>
        <w:t xml:space="preserve">Wisdom grounding.  </w:t>
      </w:r>
      <w:r>
        <w:rPr>
          <w:rFonts w:ascii="Georgia" w:cs="Georgia" w:eastAsia="Georgia" w:hAnsi="Georgia"/>
          <w:sz w:val="22"/>
          <w:szCs w:val="22"/>
        </w:rPr>
        <w:t xml:space="preserve">The current Wisdom implementation treats all confident predictions as epistemically equivalent regardless of whether they rest on a mechanistic account or on frequency correlation. Extending Wisdom to declare an epistemic type per confident prediction — mechanistic, statistical, analogical, or unknown — would make the quality of accumulated evidence legible and expose predictions that degrade silently when context shifts.</w:t>
      </w:r>
    </w:p>
    <w:p>
      <w:pPr>
        <w:spacing w:after="180" w:before="0"/>
        <w:jc w:val="both"/>
      </w:pPr>
      <w:r>
        <w:rPr>
          <w:rFonts w:ascii="Georgia" w:cs="Georgia" w:eastAsia="Georgia" w:hAnsi="Georgia"/>
          <w:b/>
          <w:bCs/>
          <w:sz w:val="22"/>
          <w:szCs w:val="22"/>
        </w:rPr>
        <w:t xml:space="preserve">Theoretical sample complexity.  </w:t>
      </w:r>
      <w:r>
        <w:rPr>
          <w:rFonts w:ascii="Georgia" w:cs="Georgia" w:eastAsia="Georgia" w:hAnsi="Georgia"/>
          <w:sz w:val="22"/>
          <w:szCs w:val="22"/>
        </w:rPr>
        <w:t xml:space="preserve">No formal analysis exists of how many evaluation cycles are required to reach a given Jacobian estimation quality as a function of action space dimensionality and result variance. Such analysis would bound the regime in which the framework's benefits outweigh its overhead and clarify the relationship between the explore/converge/exploit phase structure and standard bandit regret bounds.</w:t>
      </w:r>
    </w:p>
    <w:p>
      <w:pPr>
        <w:spacing w:after="320" w:before="0"/>
      </w:pPr>
    </w:p>
    <w:p>
      <w:pPr>
        <w:pBdr>
          <w:bottom w:val="single" w:color="222222" w:sz="6" w:space="1"/>
        </w:pBdr>
        <w:spacing w:after="0" w:before="0"/>
      </w:pPr>
    </w:p>
    <w:p>
      <w:pPr>
        <w:spacing w:after="160" w:before="0"/>
      </w:pPr>
    </w:p>
    <w:p>
      <w:pPr>
        <w:spacing w:after="0" w:before="0"/>
        <w:jc w:val="right"/>
      </w:pPr>
      <w:r>
        <w:rPr>
          <w:rFonts w:ascii="Georgia" w:cs="Georgia" w:eastAsia="Georgia" w:hAnsi="Georgia"/>
          <w:i/>
          <w:iCs/>
          <w:color w:val="888888"/>
          <w:sz w:val="18"/>
          <w:szCs w:val="18"/>
        </w:rPr>
        <w:t xml:space="preserve">Vec3(T, R, V)  ·  A Geometric Framework for Epistemic State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11111"/>
      <w:sz w:val="26"/>
      <w:szCs w:val="26"/>
    </w:rPr>
  </w:style>
  <w:style w:type="paragraph" w:styleId="Heading2">
    <w:name w:val="Heading 2"/>
    <w:basedOn w:val="Normal"/>
    <w:next w:val="Normal"/>
    <w:qFormat/>
    <w:pPr>
      <w:spacing w:after="100" w:before="280"/>
      <w:outlineLvl w:val="1"/>
    </w:pPr>
    <w:rPr>
      <w:rFonts w:ascii="Georgia" w:cs="Georgia" w:eastAsia="Georgia" w:hAnsi="Georgia"/>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2026-05-05T10:44:31.747Z</dcterms:created>
  <dcterms:modified xsi:type="dcterms:W3CDTF">2026-05-05T10:44:31.762Z</dcterms:modified>
</cp:coreProperties>
</file>

<file path=docProps/custom.xml><?xml version="1.0" encoding="utf-8"?>
<Properties xmlns="http://schemas.openxmlformats.org/officeDocument/2006/custom-properties" xmlns:vt="http://schemas.openxmlformats.org/officeDocument/2006/docPropsVTypes"/>
</file>