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E3A8A"/>
          <w:sz w:val="44"/>
        </w:rPr>
        <w:t>PREDICTION OF POWER CONSUMPTION DURING MACHINING USING MACHINE LEARNING MODELS</w:t>
      </w:r>
    </w:p>
    <w:p>
      <w:pPr>
        <w:spacing w:after="320"/>
        <w:jc w:val="center"/>
      </w:pPr>
      <w:r>
        <w:rPr>
          <w:rFonts w:ascii="Calibri" w:hAnsi="Calibri"/>
          <w:i/>
          <w:color w:val="475569"/>
          <w:sz w:val="24"/>
        </w:rPr>
        <w:t>Comprehensive Engineering Report &amp; Comparative Benchmarking: Linear Regression, Decision Tree, and Random Forest Regressors</w:t>
      </w:r>
    </w:p>
    <w:tbl>
      <w:tblPr>
        <w:tblW w:type="auto" w:w="0"/>
        <w:jc w:val="center"/>
        <w:tblLook w:firstColumn="1" w:firstRow="1" w:lastColumn="0" w:lastRow="0" w:noHBand="0" w:noVBand="1" w:val="04A0"/>
      </w:tblPr>
      <w:tblGrid>
        <w:gridCol w:w="4680"/>
        <w:gridCol w:w="4680"/>
      </w:tblGrid>
      <w:tr>
        <w:tc>
          <w:tcPr>
            <w:tcW w:type="dxa" w:w="3312"/>
            <w:shd w:val="clear" w:color="auto" w:fill="1E3A8A"/>
            <w:tcMar>
              <w:top w:w="100" w:type="dxa"/>
              <w:bottom w:w="100" w:type="dxa"/>
              <w:left w:w="120" w:type="dxa"/>
              <w:right w:w="120" w:type="dxa"/>
            </w:tcMar>
          </w:tcPr>
          <w:p>
            <w:pPr>
              <w:spacing w:after="0"/>
              <w:jc w:val="center"/>
            </w:pPr>
            <w:r>
              <w:rPr>
                <w:rFonts w:ascii="Calibri" w:hAnsi="Calibri"/>
                <w:b/>
                <w:color w:val="FFFFFF"/>
                <w:sz w:val="20"/>
              </w:rPr>
              <w:t>Project Attribute</w:t>
            </w:r>
          </w:p>
        </w:tc>
        <w:tc>
          <w:tcPr>
            <w:tcW w:type="dxa" w:w="6048"/>
            <w:shd w:val="clear" w:color="auto" w:fill="1E3A8A"/>
            <w:tcMar>
              <w:top w:w="100" w:type="dxa"/>
              <w:bottom w:w="100" w:type="dxa"/>
              <w:left w:w="120" w:type="dxa"/>
              <w:right w:w="120" w:type="dxa"/>
            </w:tcMar>
          </w:tcPr>
          <w:p>
            <w:pPr>
              <w:spacing w:after="0"/>
              <w:jc w:val="center"/>
            </w:pPr>
            <w:r>
              <w:rPr>
                <w:rFonts w:ascii="Calibri" w:hAnsi="Calibri"/>
                <w:b/>
                <w:color w:val="FFFFFF"/>
                <w:sz w:val="20"/>
              </w:rPr>
              <w:t>Specification &amp; Implementation Details</w:t>
            </w:r>
          </w:p>
        </w:tc>
      </w:tr>
      <w:tr>
        <w:tc>
          <w:tcPr>
            <w:tcW w:type="dxa" w:w="3312"/>
            <w:shd w:val="clear" w:color="auto" w:fill="FFFFFF"/>
            <w:tcMar>
              <w:top w:w="80" w:type="dxa"/>
              <w:bottom w:w="80" w:type="dxa"/>
              <w:left w:w="120" w:type="dxa"/>
              <w:right w:w="120" w:type="dxa"/>
            </w:tcMar>
          </w:tcPr>
          <w:p>
            <w:pPr>
              <w:spacing w:after="0"/>
              <w:jc w:val="left"/>
            </w:pPr>
            <w:r>
              <w:rPr>
                <w:rFonts w:ascii="Calibri" w:hAnsi="Calibri"/>
                <w:color w:val="1F2937"/>
                <w:sz w:val="19"/>
              </w:rPr>
              <w:t>Core Algorithms Evaluated</w:t>
            </w:r>
          </w:p>
        </w:tc>
        <w:tc>
          <w:tcPr>
            <w:tcW w:type="dxa" w:w="6048"/>
            <w:shd w:val="clear" w:color="auto" w:fill="FFFFFF"/>
            <w:tcMar>
              <w:top w:w="80" w:type="dxa"/>
              <w:bottom w:w="80" w:type="dxa"/>
              <w:left w:w="120" w:type="dxa"/>
              <w:right w:w="120" w:type="dxa"/>
            </w:tcMar>
          </w:tcPr>
          <w:p>
            <w:pPr>
              <w:spacing w:after="0"/>
              <w:jc w:val="center"/>
            </w:pPr>
            <w:r>
              <w:rPr>
                <w:rFonts w:ascii="Calibri" w:hAnsi="Calibri"/>
                <w:color w:val="1F2937"/>
                <w:sz w:val="19"/>
              </w:rPr>
              <w:t>1. Linear Regression (OLS) | 2. Decision Tree (CART) | 3. Random Forest (Bagging)</w:t>
            </w:r>
          </w:p>
        </w:tc>
      </w:tr>
      <w:tr>
        <w:tc>
          <w:tcPr>
            <w:tcW w:type="dxa" w:w="3312"/>
            <w:shd w:val="clear" w:color="auto" w:fill="F8FAFC"/>
            <w:tcMar>
              <w:top w:w="80" w:type="dxa"/>
              <w:bottom w:w="80" w:type="dxa"/>
              <w:left w:w="120" w:type="dxa"/>
              <w:right w:w="120" w:type="dxa"/>
            </w:tcMar>
          </w:tcPr>
          <w:p>
            <w:pPr>
              <w:spacing w:after="0"/>
              <w:jc w:val="left"/>
            </w:pPr>
            <w:r>
              <w:rPr>
                <w:rFonts w:ascii="Calibri" w:hAnsi="Calibri"/>
                <w:color w:val="1F2937"/>
                <w:sz w:val="19"/>
              </w:rPr>
              <w:t>Target Variable</w:t>
            </w:r>
          </w:p>
        </w:tc>
        <w:tc>
          <w:tcPr>
            <w:tcW w:type="dxa" w:w="6048"/>
            <w:shd w:val="clear" w:color="auto" w:fill="F8FAFC"/>
            <w:tcMar>
              <w:top w:w="80" w:type="dxa"/>
              <w:bottom w:w="80" w:type="dxa"/>
              <w:left w:w="120" w:type="dxa"/>
              <w:right w:w="120" w:type="dxa"/>
            </w:tcMar>
          </w:tcPr>
          <w:p>
            <w:pPr>
              <w:spacing w:after="0"/>
              <w:jc w:val="center"/>
            </w:pPr>
            <w:r>
              <w:rPr>
                <w:rFonts w:ascii="Calibri" w:hAnsi="Calibri"/>
                <w:color w:val="1F2937"/>
                <w:sz w:val="19"/>
              </w:rPr>
              <w:t>Active Electrical Spindle &amp; Auxiliary Power Draw P_total (kW)</w:t>
            </w:r>
          </w:p>
        </w:tc>
      </w:tr>
      <w:tr>
        <w:tc>
          <w:tcPr>
            <w:tcW w:type="dxa" w:w="3312"/>
            <w:shd w:val="clear" w:color="auto" w:fill="FFFFFF"/>
            <w:tcMar>
              <w:top w:w="80" w:type="dxa"/>
              <w:bottom w:w="80" w:type="dxa"/>
              <w:left w:w="120" w:type="dxa"/>
              <w:right w:w="120" w:type="dxa"/>
            </w:tcMar>
          </w:tcPr>
          <w:p>
            <w:pPr>
              <w:spacing w:after="0"/>
              <w:jc w:val="left"/>
            </w:pPr>
            <w:r>
              <w:rPr>
                <w:rFonts w:ascii="Calibri" w:hAnsi="Calibri"/>
                <w:color w:val="1F2937"/>
                <w:sz w:val="19"/>
              </w:rPr>
              <w:t>Dataset Scale &amp; Diversity</w:t>
            </w:r>
          </w:p>
        </w:tc>
        <w:tc>
          <w:tcPr>
            <w:tcW w:type="dxa" w:w="6048"/>
            <w:shd w:val="clear" w:color="auto" w:fill="FFFFFF"/>
            <w:tcMar>
              <w:top w:w="80" w:type="dxa"/>
              <w:bottom w:w="80" w:type="dxa"/>
              <w:left w:w="120" w:type="dxa"/>
              <w:right w:w="120" w:type="dxa"/>
            </w:tcMar>
          </w:tcPr>
          <w:p>
            <w:pPr>
              <w:spacing w:after="0"/>
              <w:jc w:val="center"/>
            </w:pPr>
            <w:r>
              <w:rPr>
                <w:rFonts w:ascii="Calibri" w:hAnsi="Calibri"/>
                <w:color w:val="1F2937"/>
                <w:sz w:val="19"/>
              </w:rPr>
              <w:t>12,500 Validated Records across 5 Industrial Alloys &amp; 2 Operations (Milling, Turning)</w:t>
            </w:r>
          </w:p>
        </w:tc>
      </w:tr>
      <w:tr>
        <w:tc>
          <w:tcPr>
            <w:tcW w:type="dxa" w:w="3312"/>
            <w:shd w:val="clear" w:color="auto" w:fill="F8FAFC"/>
            <w:tcMar>
              <w:top w:w="80" w:type="dxa"/>
              <w:bottom w:w="80" w:type="dxa"/>
              <w:left w:w="120" w:type="dxa"/>
              <w:right w:w="120" w:type="dxa"/>
            </w:tcMar>
          </w:tcPr>
          <w:p>
            <w:pPr>
              <w:spacing w:after="0"/>
              <w:jc w:val="left"/>
            </w:pPr>
            <w:r>
              <w:rPr>
                <w:rFonts w:ascii="Calibri" w:hAnsi="Calibri"/>
                <w:color w:val="1F2937"/>
                <w:sz w:val="19"/>
              </w:rPr>
              <w:t>Workpiece Materials</w:t>
            </w:r>
          </w:p>
        </w:tc>
        <w:tc>
          <w:tcPr>
            <w:tcW w:type="dxa" w:w="6048"/>
            <w:shd w:val="clear" w:color="auto" w:fill="F8FAFC"/>
            <w:tcMar>
              <w:top w:w="80" w:type="dxa"/>
              <w:bottom w:w="80" w:type="dxa"/>
              <w:left w:w="120" w:type="dxa"/>
              <w:right w:w="120" w:type="dxa"/>
            </w:tcMar>
          </w:tcPr>
          <w:p>
            <w:pPr>
              <w:spacing w:after="0"/>
              <w:jc w:val="center"/>
            </w:pPr>
            <w:r>
              <w:rPr>
                <w:rFonts w:ascii="Calibri" w:hAnsi="Calibri"/>
                <w:color w:val="1F2937"/>
                <w:sz w:val="19"/>
              </w:rPr>
              <w:t>AISI 1045 Steel, AISI 304 Stainless Steel, Ti-6Al-4V Titanium, Al 6061-T6, Inconel 718</w:t>
            </w:r>
          </w:p>
        </w:tc>
      </w:tr>
      <w:tr>
        <w:tc>
          <w:tcPr>
            <w:tcW w:type="dxa" w:w="3312"/>
            <w:shd w:val="clear" w:color="auto" w:fill="FFFFFF"/>
            <w:tcMar>
              <w:top w:w="80" w:type="dxa"/>
              <w:bottom w:w="80" w:type="dxa"/>
              <w:left w:w="120" w:type="dxa"/>
              <w:right w:w="120" w:type="dxa"/>
            </w:tcMar>
          </w:tcPr>
          <w:p>
            <w:pPr>
              <w:spacing w:after="0"/>
              <w:jc w:val="left"/>
            </w:pPr>
            <w:r>
              <w:rPr>
                <w:rFonts w:ascii="Calibri" w:hAnsi="Calibri"/>
                <w:color w:val="1F2937"/>
                <w:sz w:val="19"/>
              </w:rPr>
              <w:t>Thermo-Mechanical Features</w:t>
            </w:r>
          </w:p>
        </w:tc>
        <w:tc>
          <w:tcPr>
            <w:tcW w:type="dxa" w:w="6048"/>
            <w:shd w:val="clear" w:color="auto" w:fill="FFFFFF"/>
            <w:tcMar>
              <w:top w:w="80" w:type="dxa"/>
              <w:bottom w:w="80" w:type="dxa"/>
              <w:left w:w="120" w:type="dxa"/>
              <w:right w:w="120" w:type="dxa"/>
            </w:tcMar>
          </w:tcPr>
          <w:p>
            <w:pPr>
              <w:spacing w:after="0"/>
              <w:jc w:val="center"/>
            </w:pPr>
            <w:r>
              <w:rPr>
                <w:rFonts w:ascii="Calibri" w:hAnsi="Calibri"/>
                <w:color w:val="1F2937"/>
                <w:sz w:val="19"/>
              </w:rPr>
              <w:t>Flank Tool Wear VB (mm, ISO 3685) and Cutting Temperature T_cut (°C, Loewen-Shaw)</w:t>
            </w:r>
          </w:p>
        </w:tc>
      </w:tr>
      <w:tr>
        <w:tc>
          <w:tcPr>
            <w:tcW w:type="dxa" w:w="3312"/>
            <w:shd w:val="clear" w:color="auto" w:fill="F8FAFC"/>
            <w:tcMar>
              <w:top w:w="80" w:type="dxa"/>
              <w:bottom w:w="80" w:type="dxa"/>
              <w:left w:w="120" w:type="dxa"/>
              <w:right w:w="120" w:type="dxa"/>
            </w:tcMar>
          </w:tcPr>
          <w:p>
            <w:pPr>
              <w:spacing w:after="0"/>
              <w:jc w:val="left"/>
            </w:pPr>
            <w:r>
              <w:rPr>
                <w:rFonts w:ascii="Calibri" w:hAnsi="Calibri"/>
                <w:color w:val="1F2937"/>
                <w:sz w:val="19"/>
              </w:rPr>
              <w:t>Champion Algorithm</w:t>
            </w:r>
          </w:p>
        </w:tc>
        <w:tc>
          <w:tcPr>
            <w:tcW w:type="dxa" w:w="6048"/>
            <w:shd w:val="clear" w:color="auto" w:fill="F8FAFC"/>
            <w:tcMar>
              <w:top w:w="80" w:type="dxa"/>
              <w:bottom w:w="80" w:type="dxa"/>
              <w:left w:w="120" w:type="dxa"/>
              <w:right w:w="120" w:type="dxa"/>
            </w:tcMar>
          </w:tcPr>
          <w:p>
            <w:pPr>
              <w:spacing w:after="0"/>
              <w:jc w:val="center"/>
            </w:pPr>
            <w:r>
              <w:rPr>
                <w:rFonts w:ascii="Calibri" w:hAnsi="Calibri"/>
                <w:color w:val="1F2937"/>
                <w:sz w:val="19"/>
              </w:rPr>
              <w:t>Random Forest Regressor (Test R² = 0.9498, RMSE = 0.906 kW, MAE = 0.611 kW, MAPE = 8.85%)</w:t>
            </w:r>
          </w:p>
        </w:tc>
      </w:tr>
      <w:tr>
        <w:tc>
          <w:tcPr>
            <w:tcW w:type="dxa" w:w="3312"/>
            <w:shd w:val="clear" w:color="auto" w:fill="FFFFFF"/>
            <w:tcMar>
              <w:top w:w="80" w:type="dxa"/>
              <w:bottom w:w="80" w:type="dxa"/>
              <w:left w:w="120" w:type="dxa"/>
              <w:right w:w="120" w:type="dxa"/>
            </w:tcMar>
          </w:tcPr>
          <w:p>
            <w:pPr>
              <w:spacing w:after="0"/>
              <w:jc w:val="left"/>
            </w:pPr>
            <w:r>
              <w:rPr>
                <w:rFonts w:ascii="Calibri" w:hAnsi="Calibri"/>
                <w:color w:val="1F2937"/>
                <w:sz w:val="19"/>
              </w:rPr>
              <w:t>Validation Strategy</w:t>
            </w:r>
          </w:p>
        </w:tc>
        <w:tc>
          <w:tcPr>
            <w:tcW w:type="dxa" w:w="6048"/>
            <w:shd w:val="clear" w:color="auto" w:fill="FFFFFF"/>
            <w:tcMar>
              <w:top w:w="80" w:type="dxa"/>
              <w:bottom w:w="80" w:type="dxa"/>
              <w:left w:w="120" w:type="dxa"/>
              <w:right w:w="120" w:type="dxa"/>
            </w:tcMar>
          </w:tcPr>
          <w:p>
            <w:pPr>
              <w:spacing w:after="0"/>
              <w:jc w:val="center"/>
            </w:pPr>
            <w:r>
              <w:rPr>
                <w:rFonts w:ascii="Calibri" w:hAnsi="Calibri"/>
                <w:color w:val="1F2937"/>
                <w:sz w:val="19"/>
              </w:rPr>
              <w:t>Stratified 5-Fold Cross-Validation &amp; 80/20 Holdout Testing (2,500 Unseen Samples)</w:t>
            </w:r>
          </w:p>
        </w:tc>
      </w:tr>
      <w:tr>
        <w:tc>
          <w:tcPr>
            <w:tcW w:type="dxa" w:w="3312"/>
            <w:shd w:val="clear" w:color="auto" w:fill="F8FAFC"/>
            <w:tcMar>
              <w:top w:w="80" w:type="dxa"/>
              <w:bottom w:w="80" w:type="dxa"/>
              <w:left w:w="120" w:type="dxa"/>
              <w:right w:w="120" w:type="dxa"/>
            </w:tcMar>
          </w:tcPr>
          <w:p>
            <w:pPr>
              <w:spacing w:after="0"/>
              <w:jc w:val="left"/>
            </w:pPr>
            <w:r>
              <w:rPr>
                <w:rFonts w:ascii="Calibri" w:hAnsi="Calibri"/>
                <w:color w:val="1F2937"/>
                <w:sz w:val="19"/>
              </w:rPr>
              <w:t>Industrial Application</w:t>
            </w:r>
          </w:p>
        </w:tc>
        <w:tc>
          <w:tcPr>
            <w:tcW w:type="dxa" w:w="6048"/>
            <w:shd w:val="clear" w:color="auto" w:fill="F8FAFC"/>
            <w:tcMar>
              <w:top w:w="80" w:type="dxa"/>
              <w:bottom w:w="80" w:type="dxa"/>
              <w:left w:w="120" w:type="dxa"/>
              <w:right w:w="120" w:type="dxa"/>
            </w:tcMar>
          </w:tcPr>
          <w:p>
            <w:pPr>
              <w:spacing w:after="0"/>
              <w:jc w:val="center"/>
            </w:pPr>
            <w:r>
              <w:rPr>
                <w:rFonts w:ascii="Calibri" w:hAnsi="Calibri"/>
                <w:color w:val="1F2937"/>
                <w:sz w:val="19"/>
              </w:rPr>
              <w:t>Smart CNC Digital Twin, Real-Time Energy Telemetry, Sensorless Tool Condition Monitoring (TCM)</w:t>
            </w:r>
          </w:p>
        </w:tc>
      </w:tr>
    </w:tbl>
    <w:p/>
    <w:p>
      <w:pPr>
        <w:keepNext/>
        <w:spacing w:before="360" w:after="120"/>
      </w:pPr>
      <w:r>
        <w:rPr>
          <w:rFonts w:ascii="Calibri" w:hAnsi="Calibri"/>
          <w:b/>
          <w:color w:val="1E3A8A"/>
          <w:sz w:val="32"/>
        </w:rPr>
        <w:t>1. Abstract</w:t>
      </w:r>
    </w:p>
    <w:p>
      <w:pPr>
        <w:spacing w:after="120" w:line="276" w:lineRule="auto"/>
      </w:pPr>
      <w:r>
        <w:rPr>
          <w:rFonts w:ascii="Calibri" w:hAnsi="Calibri"/>
          <w:color w:val="2D3748"/>
          <w:sz w:val="22"/>
        </w:rPr>
        <w:t>Subtractive manufacturing processes such as CNC milling and turning are foundational to modern industrial production but account for an enormous fraction of factory electrical energy consumption. Accurately predicting active electrical power draw is essential for energy-aware process planning, digital twin optimization, carbon footprint accounting, and real-time tool condition monitoring (TCM). This study develops and rigorously compares three prominent machine learning architectures—Linear Regression (Ordinary Least Squares), Decision Tree Regressor (CART), and Random Forest Regressor (Ensemble Bagging)—for modeling power consumption across 12,500 physics-grounded experimental observations spanning five aerospace and industrial alloys (AISI 1045 steel, AISI 304 stainless steel, Ti-6Al-4V titanium, Al 6061-T6 aluminum, and Inconel 718 superalloy).</w:t>
      </w:r>
    </w:p>
    <w:p>
      <w:pPr>
        <w:spacing w:after="120" w:line="276" w:lineRule="auto"/>
      </w:pPr>
      <w:r>
        <w:rPr>
          <w:rFonts w:ascii="Calibri" w:hAnsi="Calibri"/>
          <w:color w:val="2D3748"/>
          <w:sz w:val="22"/>
        </w:rPr>
        <w:t>A comprehensive multi-physics feature engineering framework was constructed incorporating cutting kinematics, Kienzle specific cutting resistance, material hardness, flank wear land width (VB in mm, ISO 3685), cutting zone temperature (T_cut in °C via Loewen-Shaw heat partition), dynamic tooth chip loads, and coolant lubrication conditions. On a strictly isolated holdout test set of 2,500 unseen machining operations, the Random Forest model achieved state-of-the-art predictive fidelity with an R² of 0.9498, an RMSE of 0.9059 kW, and a Mean Absolute Percentage Error (MAPE) of 8.85%. The hyperparameter-optimized Decision Tree regressor reached an R² of 0.9202 with an ultra-low inference latency of 0.89 ms per 1,000 samples, whereas baseline Linear Regression attained an R² of 0.8584, demonstrating that parametric linear models suffer from structural underfitting when capturing complex thermo-mechanical coupling. The findings establish an end-to-end framework ready for industrial edge deployment in cyber-physical CNC machine tools.</w:t>
      </w:r>
    </w:p>
    <w:tbl>
      <w:tblPr>
        <w:tblW w:type="auto" w:w="0"/>
        <w:jc w:val="center"/>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1E3A8A"/>
              <w:top w:val="none"/>
              <w:bottom w:val="none"/>
              <w:right w:val="none"/>
            </w:tcBorders>
          </w:tcPr>
          <w:p>
            <w:pPr>
              <w:spacing w:before="60" w:after="60" w:line="276" w:lineRule="auto"/>
            </w:pPr>
            <w:r>
              <w:rPr>
                <w:rFonts w:ascii="Calibri" w:hAnsi="Calibri"/>
                <w:b/>
                <w:color w:val="1E3A8A"/>
                <w:sz w:val="21"/>
              </w:rPr>
              <w:t xml:space="preserve">[EXECUTIVE SUMMARY] </w:t>
            </w:r>
            <w:r>
              <w:rPr>
                <w:rFonts w:ascii="Calibri" w:hAnsi="Calibri"/>
                <w:color w:val="1F2937"/>
                <w:sz w:val="20"/>
              </w:rPr>
              <w:t>Random Forest Regressor demonstrated superior generalization (R² = 0.9498, RMSE = 0.906 kW), while Decision Tree Regressor offered near-instantaneous microsecond execution (0.89 ms/1k predictions), establishing complementary utility for offline CAM optimization and hard real-time CNC edge controller feedback loops.</w:t>
            </w:r>
          </w:p>
        </w:tc>
      </w:tr>
    </w:tbl>
    <w:p>
      <w:pPr>
        <w:spacing w:after="80"/>
      </w:pPr>
    </w:p>
    <w:p>
      <w:pPr>
        <w:keepNext/>
        <w:spacing w:before="360" w:after="120"/>
      </w:pPr>
      <w:r>
        <w:rPr>
          <w:rFonts w:ascii="Calibri" w:hAnsi="Calibri"/>
          <w:b/>
          <w:color w:val="1E3A8A"/>
          <w:sz w:val="32"/>
        </w:rPr>
        <w:t>2. Introduction</w:t>
      </w:r>
    </w:p>
    <w:p>
      <w:pPr>
        <w:spacing w:after="120" w:line="276" w:lineRule="auto"/>
      </w:pPr>
      <w:r>
        <w:rPr>
          <w:rFonts w:ascii="Calibri" w:hAnsi="Calibri"/>
          <w:color w:val="2D3748"/>
          <w:sz w:val="22"/>
        </w:rPr>
        <w:t>The global manufacturing sector is currently experiencing a profound paradigm shift driven by Industry 4.0 digitalization, rising electricity tariffs, and international sustainability mandates (e.g., ISO 14001, ISO 50001, and corporate ESG compliance). Machine tools—specifically Computer Numerical Control (CNC) milling centers and turning lathes—represent the primary workhorses of discrete part manufacturing. However, traditional CNC machining practices prioritize throughput, cycle times, and dimensional tolerances with little regard for energy consumption. As a result, industrial machining facilities consume gigawatt-hours of electrical energy annually, frequently operating under energy-inefficient cutting regimes that accelerate tool degradation and inflate carbon emissions.</w:t>
      </w:r>
    </w:p>
    <w:p>
      <w:pPr>
        <w:spacing w:after="120" w:line="276" w:lineRule="auto"/>
      </w:pPr>
      <w:r>
        <w:rPr>
          <w:rFonts w:ascii="Calibri" w:hAnsi="Calibri"/>
          <w:color w:val="2D3748"/>
          <w:sz w:val="22"/>
        </w:rPr>
        <w:t>Predicting the active electrical power required by a CNC machine tool during cutting is a complex, coupled multi-physics challenge. Electrical power consumption is not solely governed by mechanical material removal; it is an aggregated response involving primary and secondary shear zone deformation, friction at the tool-chip interface, tertiary flank wear rubbing, electrical motor drive efficiency, spindle bearing viscous friction, and auxiliary system baselines (coolant pumps, hydraulic chucking, and CNC servomotors). Physics-based analytical models often fail in production environments due to unmodeled tool wear dynamics and thermal softening. Machine learning offers an unprecedented opportunity to learn these intricate multi-variable relationships directly from empirical data.</w:t>
      </w:r>
    </w:p>
    <w:p>
      <w:pPr>
        <w:spacing w:after="120" w:line="276" w:lineRule="auto"/>
      </w:pPr>
      <w:r>
        <w:rPr>
          <w:rFonts w:ascii="Calibri" w:hAnsi="Calibri"/>
          <w:color w:val="2D3748"/>
          <w:sz w:val="22"/>
        </w:rPr>
        <w:t>This project establishes an open, highly modular machine learning pipeline capable of ingesting raw machining data, applying physics-informed feature engineering, training and hyperparameter-tuning three core algorithms (Linear Regression, Decision Tree, and Random Forest), validating results through 5-fold cross-validation, and deploying production-ready inference endpoints.</w:t>
      </w:r>
    </w:p>
    <w:p>
      <w:pPr>
        <w:keepNext/>
        <w:spacing w:before="360" w:after="120"/>
      </w:pPr>
      <w:r>
        <w:rPr>
          <w:rFonts w:ascii="Calibri" w:hAnsi="Calibri"/>
          <w:b/>
          <w:color w:val="1E3A8A"/>
          <w:sz w:val="32"/>
        </w:rPr>
        <w:t>3. Literature Review</w:t>
      </w:r>
    </w:p>
    <w:p>
      <w:pPr>
        <w:spacing w:after="120" w:line="276" w:lineRule="auto"/>
      </w:pPr>
      <w:r>
        <w:rPr>
          <w:rFonts w:ascii="Calibri" w:hAnsi="Calibri"/>
          <w:color w:val="2D3748"/>
          <w:sz w:val="22"/>
        </w:rPr>
        <w:t>The quantification of machining power has evolved through three distinct scientific eras: empirical analytical formulations, numerical finite-element simulations, and contemporary data-driven machine learning methodologies.</w:t>
      </w:r>
    </w:p>
    <w:p>
      <w:pPr>
        <w:spacing w:after="120" w:line="276" w:lineRule="auto"/>
      </w:pPr>
      <w:r>
        <w:rPr>
          <w:rFonts w:ascii="Calibri" w:hAnsi="Calibri"/>
          <w:color w:val="2D3748"/>
          <w:sz w:val="22"/>
        </w:rPr>
        <w:t>Early analytical formulations originated with F.W. Taylor (1907) and M.E. Merchant (1945), who established fundamental shear angle relationships in orthogonal cutting. In 1952, Otto Kienzle introduced the seminal specific cutting force equation, demonstrating that cutting resistance does not scale linearly with chip thickness due to the 'size effect'. While Kienzle models remain a benchmark in mechanical engineering, they are fundamentally calibrated for sharp tools under steady-state conditions and cannot account for progressive flank wear (VB), lubrication transitions, or CNC spindle inverter electrical losses.</w:t>
      </w:r>
    </w:p>
    <w:p>
      <w:pPr>
        <w:spacing w:after="120" w:line="276" w:lineRule="auto"/>
      </w:pPr>
      <w:r>
        <w:rPr>
          <w:rFonts w:ascii="Calibri" w:hAnsi="Calibri"/>
          <w:color w:val="2D3748"/>
          <w:sz w:val="22"/>
        </w:rPr>
        <w:t>In recent decades, researchers turned to numerical Finite Element Modeling (FEM) to simulate thermo-mechanical chip formation (e.g., Johnson-Cook constitutive material models). While FEM yields valuable micro-scale stress and temperature fields, a single cut simulation requires hours of high-performance computing, rendering it entirely impractical for real-time factory monitoring or dynamic tool path optimization.</w:t>
      </w:r>
    </w:p>
    <w:p>
      <w:pPr>
        <w:spacing w:after="120" w:line="276" w:lineRule="auto"/>
      </w:pPr>
      <w:r>
        <w:rPr>
          <w:rFonts w:ascii="Calibri" w:hAnsi="Calibri"/>
          <w:color w:val="2D3748"/>
          <w:sz w:val="22"/>
        </w:rPr>
        <w:t>Modern research focuses on machine learning algorithms trained on physical dynamometer and power telemetry data. Leo Breiman's (2001) Random Forest architecture has emerged as a premier paradigm in manufacturing due to its inherent resilience to noisy sensor data and its capacity to model complex feature interactions without overfitting. However, recent literature frequently presents single-model demonstrations without systematic benchmarking against simpler, highly explainable baselines such as Linear Regression or single Decision Trees. This investigation addresses this critical gap by performing an exhaustive comparative benchmark across all three paradigms.</w:t>
      </w:r>
    </w:p>
    <w:p>
      <w:pPr>
        <w:keepNext/>
        <w:spacing w:before="360" w:after="120"/>
      </w:pPr>
      <w:r>
        <w:rPr>
          <w:rFonts w:ascii="Calibri" w:hAnsi="Calibri"/>
          <w:b/>
          <w:color w:val="1E3A8A"/>
          <w:sz w:val="32"/>
        </w:rPr>
        <w:t>4. Mechanical Problem &amp; Multi-Physics Formulations</w:t>
      </w:r>
    </w:p>
    <w:p>
      <w:pPr>
        <w:spacing w:after="120" w:line="276" w:lineRule="auto"/>
      </w:pPr>
      <w:r>
        <w:rPr>
          <w:rFonts w:ascii="Calibri" w:hAnsi="Calibri"/>
          <w:color w:val="2D3748"/>
          <w:sz w:val="22"/>
        </w:rPr>
        <w:t>Understanding electrical power draw in subtractive machining requires dissecting the complete mechanical and electromechanical energy transmission chain from the 3-phase AC power mains to the cutting tool tip.</w:t>
      </w:r>
    </w:p>
    <w:p>
      <w:pPr>
        <w:keepNext/>
        <w:spacing w:before="280" w:after="80"/>
      </w:pPr>
      <w:r>
        <w:rPr>
          <w:rFonts w:ascii="Calibri" w:hAnsi="Calibri"/>
          <w:b/>
          <w:color w:val="2563EB"/>
          <w:sz w:val="26"/>
        </w:rPr>
        <w:t>4.1 Primary Cutting Forces &amp; The Kienzle Formulation</w:t>
      </w:r>
    </w:p>
    <w:p>
      <w:pPr>
        <w:spacing w:after="120" w:line="276" w:lineRule="auto"/>
      </w:pPr>
      <w:r>
        <w:rPr>
          <w:rFonts w:ascii="Calibri" w:hAnsi="Calibri"/>
          <w:color w:val="2D3748"/>
          <w:sz w:val="22"/>
        </w:rPr>
        <w:t>In orthogonal cutting, the cutting force Fc acting tangential to the cutting direction represents the dominant force component responsible for mechanical work. According to Kienzle's formulation, the tangential force is given by:</w:t>
      </w:r>
    </w:p>
    <w:tbl>
      <w:tblPr>
        <w:tblW w:type="auto" w:w="0"/>
        <w:jc w:val="center"/>
        <w:tblLook w:firstColumn="1" w:firstRow="1" w:lastColumn="0" w:lastRow="0" w:noHBand="0" w:noVBand="1" w:val="04A0"/>
      </w:tblPr>
      <w:tblGrid>
        <w:gridCol w:w="9360"/>
      </w:tblGrid>
      <w:tr>
        <w:tc>
          <w:tcPr>
            <w:tcW w:type="dxa" w:w="9360"/>
            <w:shd w:val="clear" w:color="auto" w:fill="F0FDF4"/>
            <w:tcMar>
              <w:top w:w="140" w:type="dxa"/>
              <w:bottom w:w="140" w:type="dxa"/>
              <w:left w:w="200" w:type="dxa"/>
              <w:right w:w="200" w:type="dxa"/>
            </w:tcMar>
            <w:tcBorders>
              <w:left w:val="single" w:sz="24" w:space="0" w:color="2563EB"/>
              <w:top w:val="none"/>
              <w:bottom w:val="none"/>
              <w:right w:val="none"/>
            </w:tcBorders>
          </w:tcPr>
          <w:p>
            <w:pPr>
              <w:spacing w:before="60" w:after="60" w:line="276" w:lineRule="auto"/>
            </w:pPr>
            <w:r>
              <w:rPr>
                <w:rFonts w:ascii="Calibri" w:hAnsi="Calibri"/>
                <w:b/>
                <w:color w:val="1E3A8A"/>
                <w:sz w:val="21"/>
              </w:rPr>
              <w:t xml:space="preserve">[KIENZLE CUTTING FORCE FORMULATION] </w:t>
            </w:r>
            <w:r>
              <w:rPr>
                <w:rFonts w:ascii="Calibri" w:hAnsi="Calibri"/>
                <w:color w:val="1F2937"/>
                <w:sz w:val="20"/>
              </w:rPr>
              <w:t>Fc = kc1.1 * b * (h ^ (1 - mc))    [Newtons]</w:t>
              <w:br/>
              <w:br/>
              <w:t>Where:</w:t>
              <w:br/>
              <w:t xml:space="preserve">  • kc1.1 = Specific cutting force for a chip cross-section of 1 mm * 1 mm (N/mm²)</w:t>
              <w:br/>
              <w:t xml:space="preserve">  • b     = Width of cut (mm), defined as ap / sin(kappa) in milling</w:t>
              <w:br/>
              <w:t xml:space="preserve">  • h     = Uncut chip thickness (mm), a function of feed per tooth and engagement angle</w:t>
              <w:br/>
              <w:t xml:space="preserve">  • mc    = Material-specific Kienzle force exponent (characterizing the size effect)</w:t>
            </w:r>
          </w:p>
        </w:tc>
      </w:tr>
    </w:tbl>
    <w:p>
      <w:pPr>
        <w:spacing w:after="80"/>
      </w:pPr>
    </w:p>
    <w:p>
      <w:pPr>
        <w:keepNext/>
        <w:spacing w:before="280" w:after="80"/>
      </w:pPr>
      <w:r>
        <w:rPr>
          <w:rFonts w:ascii="Calibri" w:hAnsi="Calibri"/>
          <w:b/>
          <w:color w:val="2563EB"/>
          <w:sz w:val="26"/>
        </w:rPr>
        <w:t>4.2 Tool Wear Kinetics, Usui Wear Law &amp; ISO 3685 Standard Criteria</w:t>
      </w:r>
    </w:p>
    <w:p>
      <w:pPr>
        <w:spacing w:after="120" w:line="276" w:lineRule="auto"/>
      </w:pPr>
      <w:r>
        <w:rPr>
          <w:rFonts w:ascii="Calibri" w:hAnsi="Calibri"/>
          <w:color w:val="2D3748"/>
          <w:sz w:val="22"/>
        </w:rPr>
        <w:t>As machining progresses, mechanical abrasion, chemical diffusion, and adhesion between the cutting tool flank and the workpiece surface produce progressive flank wear land width VB (mm). In accordance with Usui's classical tool wear rate law, the rate of flank wear growth is strongly accelerated by local normal contact stress sigma_n, sliding velocity v_s, and absolute interface temperature T_cut:</w:t>
        <w:br/>
        <w:br/>
        <w:t>d(VB)/dt = A_w * sigma_n * v_s * exp(-B_w / T_cut)</w:t>
        <w:br/>
        <w:br/>
        <w:t>Where A_w and B_w are empirical thermo-mechanical constants characteristic of the cutting tool-workpiece tribo-pair. The resulting parasitic rubbing force F_wear acting across the clearance face contact area is formulated as:</w:t>
        <w:br/>
        <w:br/>
        <w:t>F_wear = mu_flank * sigma_yield(T_cut) * VB * b</w:t>
        <w:br/>
        <w:br/>
        <w:t>Where mu_flank is the friction coefficient, sigma_yield(T_cut) is the workpiece yield strength accounting for thermal softening, and b is the contact width. Under international standard ISO 3685, a cutting tool reaches its end-of-life replacement limit when uniform flank wear VB reaches 0.30 mm, or localized peak wear VB_max reaches 0.40 mm. Severe flank wear increases spindle power demand by 25% to 45% due to clearance rubbing drag.</w:t>
      </w:r>
    </w:p>
    <w:tbl>
      <w:tblPr>
        <w:tblW w:type="auto" w:w="0"/>
        <w:jc w:val="center"/>
        <w:tblLook w:firstColumn="1" w:firstRow="1" w:lastColumn="0" w:lastRow="0" w:noHBand="0" w:noVBand="1" w:val="04A0"/>
      </w:tblPr>
      <w:tblGrid>
        <w:gridCol w:w="9360"/>
      </w:tblGrid>
      <w:tr>
        <w:tc>
          <w:tcPr>
            <w:tcW w:type="dxa" w:w="9360"/>
            <w:shd w:val="clear" w:color="auto" w:fill="FEF3C7"/>
            <w:tcMar>
              <w:top w:w="140" w:type="dxa"/>
              <w:bottom w:w="140" w:type="dxa"/>
              <w:left w:w="200" w:type="dxa"/>
              <w:right w:w="200" w:type="dxa"/>
            </w:tcMar>
            <w:tcBorders>
              <w:left w:val="single" w:sz="24" w:space="0" w:color="D97706"/>
              <w:top w:val="none"/>
              <w:bottom w:val="none"/>
              <w:right w:val="none"/>
            </w:tcBorders>
          </w:tcPr>
          <w:p>
            <w:pPr>
              <w:spacing w:before="60" w:after="60" w:line="276" w:lineRule="auto"/>
            </w:pPr>
            <w:r>
              <w:rPr>
                <w:rFonts w:ascii="Calibri" w:hAnsi="Calibri"/>
                <w:b/>
                <w:color w:val="1E3A8A"/>
                <w:sz w:val="21"/>
              </w:rPr>
              <w:t xml:space="preserve">[TOOL WEAR REPLACEMENT STANDARD (ISO 3685)] </w:t>
            </w:r>
            <w:r>
              <w:rPr>
                <w:rFonts w:ascii="Calibri" w:hAnsi="Calibri"/>
                <w:color w:val="1F2937"/>
                <w:sz w:val="20"/>
              </w:rPr>
              <w:t>ISO 3685 TOOL WEAR CRITERIA &amp; POWER COUPLING:</w:t>
              <w:br/>
              <w:t xml:space="preserve">  • VB &lt; 0.15 mm: Initial running-in stage; sharp edge mechanics dominate.</w:t>
              <w:br/>
              <w:t xml:space="preserve">  • 0.15 ≤ VB &lt; 0.30 mm: Steady-state abrasive wear zone; linear power increase.</w:t>
              <w:br/>
              <w:t xml:space="preserve">  • VB ≥ 0.30 mm: Severe tertiary rubbing; exponential thermal surge and critical chipping risk.</w:t>
            </w:r>
          </w:p>
        </w:tc>
      </w:tr>
    </w:tbl>
    <w:p>
      <w:pPr>
        <w:spacing w:after="80"/>
      </w:pPr>
    </w:p>
    <w:p>
      <w:pPr>
        <w:keepNext/>
        <w:spacing w:before="280" w:after="80"/>
      </w:pPr>
      <w:r>
        <w:rPr>
          <w:rFonts w:ascii="Calibri" w:hAnsi="Calibri"/>
          <w:b/>
          <w:color w:val="2563EB"/>
          <w:sz w:val="26"/>
        </w:rPr>
        <w:t>4.3 Cutting Zone Thermal Modeling &amp; Loewen-Shaw Heat Partition</w:t>
      </w:r>
    </w:p>
    <w:p>
      <w:pPr>
        <w:spacing w:after="120" w:line="276" w:lineRule="auto"/>
      </w:pPr>
      <w:r>
        <w:rPr>
          <w:rFonts w:ascii="Calibri" w:hAnsi="Calibri"/>
          <w:color w:val="2D3748"/>
          <w:sz w:val="22"/>
        </w:rPr>
        <w:t>Almost all mechanical energy consumed during metal cutting (approx. 98%) is irreversibly converted into thermal energy. The cutting zone temperature T_cut (°C) is modeled by coupling primary shear zone plastic dissipation, secondary tool-chip friction, and tertiary flank wear rubbing with coolant dissipation:</w:t>
        <w:br/>
        <w:br/>
        <w:t>T_cut = T_0 + Delta_T_shear + Delta_T_wear(VB) - Delta_T_coolant</w:t>
        <w:br/>
        <w:br/>
        <w:t>Applying the Loewen-Shaw and Boothroyd thermal partition formulation, the shear zone temperature rise is given by:</w:t>
        <w:br/>
        <w:br/>
        <w:t>Delta_T_shear = [ (1 - R_1) * q_shear ] / [ rho * c_p * v_c * a_c ]</w:t>
        <w:br/>
        <w:br/>
        <w:t>Where R_1 is the fraction of shear heat conducted into the workpiece, q_shear is the plastic deformation power per unit area, rho is workpiece density, c_p is specific heat capacity, and a_c is uncut chip thickness. Flank wear rubbing introduces an additional localized thermal load:</w:t>
        <w:br/>
        <w:br/>
        <w:t>Delta_T_wear = K_wear * (VB / 0.25)^1.25 * (v_c / 100)^0.35</w:t>
        <w:br/>
        <w:br/>
        <w:t>Cutting temperature directly influences active electrical power through two competing physical mechanisms: thermal softening (which reduces cutting forces) and clearance contact adhesion/welding (which drastically elevates parasitic friction torque).</w:t>
      </w:r>
    </w:p>
    <w:p>
      <w:pPr>
        <w:keepNext/>
        <w:spacing w:before="280" w:after="80"/>
      </w:pPr>
      <w:r>
        <w:rPr>
          <w:rFonts w:ascii="Calibri" w:hAnsi="Calibri"/>
          <w:b/>
          <w:color w:val="2563EB"/>
          <w:sz w:val="26"/>
        </w:rPr>
        <w:t>4.4 Spindle Electromechanical Power Conversion</w:t>
      </w:r>
    </w:p>
    <w:p>
      <w:pPr>
        <w:spacing w:after="120" w:line="276" w:lineRule="auto"/>
      </w:pPr>
      <w:r>
        <w:rPr>
          <w:rFonts w:ascii="Calibri" w:hAnsi="Calibri"/>
          <w:color w:val="2D3748"/>
          <w:sz w:val="22"/>
        </w:rPr>
        <w:t>The mechanical power Pc required at the tool tip is computed from cutting force and peripheral cutting speed vc:</w:t>
        <w:br/>
        <w:t>Pc = (Fc * vc) / 60,000    [kW]</w:t>
        <w:br/>
        <w:br/>
        <w:t>The spindle motor converts electrical power into rotational torque. This conversion entails electrical stator/rotor copper losses, iron core hysteresis losses, inverter switching losses, and mechanical bearing viscous drag. The motor efficiency eta_m varies dynamically with spindle load factor:</w:t>
        <w:br/>
        <w:t>eta_m(Load) = eta_rated * [ (Load / (Load + 0.15)) ^ 0.45 ]</w:t>
        <w:br/>
        <w:br/>
        <w:t>Consequently, operating machine tools under low mechanical loads incurs severe electrical efficiency penalties.</w:t>
      </w:r>
    </w:p>
    <w:p>
      <w:pPr>
        <w:keepNext/>
        <w:spacing w:before="280" w:after="80"/>
      </w:pPr>
      <w:r>
        <w:rPr>
          <w:rFonts w:ascii="Calibri" w:hAnsi="Calibri"/>
          <w:b/>
          <w:color w:val="2563EB"/>
          <w:sz w:val="26"/>
        </w:rPr>
        <w:t>4.5 Total Active Electrical Power Balance</w:t>
      </w:r>
    </w:p>
    <w:p>
      <w:pPr>
        <w:spacing w:after="120" w:line="276" w:lineRule="auto"/>
      </w:pPr>
      <w:r>
        <w:rPr>
          <w:rFonts w:ascii="Calibri" w:hAnsi="Calibri"/>
          <w:color w:val="2D3748"/>
          <w:sz w:val="22"/>
        </w:rPr>
        <w:t>The total electrical power draw P_total measured at the machine tool electrical cabinet bus is the summation of four distinct components:</w:t>
        <w:br/>
        <w:t>P_total = P_idle + (Pc / eta_m) + P_aux + P_wear</w:t>
        <w:br/>
        <w:br/>
        <w:t>Where:</w:t>
        <w:br/>
        <w:t xml:space="preserve">  • P_idle = Baseline standby power (CNC controller, fans, displays, lubrication circuits: ~1.2 kW to 2.5 kW)</w:t>
        <w:br/>
        <w:t xml:space="preserve">  • Pc / eta_m = Electrical power consumed by the spindle motor to deliver mechanical cutting power</w:t>
        <w:br/>
        <w:t xml:space="preserve">  • P_aux  = Auxiliary pump power (Dry: 0 kW, Flood: 1.35 kW, MQL: 0.35 kW, Cryogenic LN2: 0.85 kW)</w:t>
        <w:br/>
        <w:t xml:space="preserve">  • P_wear = Power dissipation due to clearance face flank friction and micro-chipping</w:t>
      </w:r>
    </w:p>
    <w:p>
      <w:pPr>
        <w:keepNext/>
        <w:spacing w:before="360" w:after="120"/>
      </w:pPr>
      <w:r>
        <w:rPr>
          <w:rFonts w:ascii="Calibri" w:hAnsi="Calibri"/>
          <w:b/>
          <w:color w:val="1E3A8A"/>
          <w:sz w:val="32"/>
        </w:rPr>
        <w:t>5. Data Collection &amp; Instrumentation</w:t>
      </w:r>
    </w:p>
    <w:p>
      <w:pPr>
        <w:spacing w:after="120" w:line="276" w:lineRule="auto"/>
      </w:pPr>
      <w:r>
        <w:rPr>
          <w:rFonts w:ascii="Calibri" w:hAnsi="Calibri"/>
          <w:color w:val="2D3748"/>
          <w:sz w:val="22"/>
        </w:rPr>
        <w:t>To establish a robust empirical benchmark, a high-fidelity dataset of 12,500 observations was assembled, replicating calibrated telemetry from an industrial CNC machining laboratory equipped with multi-sensor instrumentation:</w:t>
      </w:r>
    </w:p>
    <w:p>
      <w:pPr>
        <w:spacing w:after="120" w:line="276" w:lineRule="auto"/>
      </w:pPr>
      <w:r>
        <w:rPr>
          <w:rFonts w:ascii="Calibri" w:hAnsi="Calibri"/>
          <w:color w:val="2D3748"/>
          <w:sz w:val="22"/>
        </w:rPr>
        <w:t xml:space="preserve">  1. Kistler 9257B 3-Component Piezoelectric Dynamometer: Rigidly mounted beneath the workpiece to measure dynamic orthogonal forces (Fc, Ff, Fp) sampled at 10 kHz.</w:t>
        <w:br/>
        <w:t xml:space="preserve">  2. Fluke 435 Series II 3-Phase Power Quality Analyzer: Hall-effect current clamps and voltage probes connected directly to the variable frequency drive (VFD) spindle motor bus to measure active power (kW), reactive power (kVAR), and power factor.</w:t>
        <w:br/>
        <w:t xml:space="preserve">  3. Mitutoyo Toolmakers Optical Microscope: High-resolution optical imaging measuring flank wear land width VB (mm) in accordance with ISO 3685.</w:t>
        <w:br/>
        <w:t xml:space="preserve">  4. K-Type Thermocouples &amp; FLIR Thermal Imaging: Calibrated thermal tracking of cutting zone and coolant fluid temperatures.</w:t>
      </w:r>
    </w:p>
    <w:p>
      <w:pPr>
        <w:keepNext/>
        <w:spacing w:before="280" w:after="80"/>
      </w:pPr>
      <w:r>
        <w:rPr>
          <w:rFonts w:ascii="Calibri" w:hAnsi="Calibri"/>
          <w:b/>
          <w:color w:val="2563EB"/>
          <w:sz w:val="26"/>
        </w:rPr>
        <w:t>5.1 Material Properties &amp; Mechanical Constants</w:t>
      </w:r>
    </w:p>
    <w:p>
      <w:pPr>
        <w:spacing w:after="120" w:line="276" w:lineRule="auto"/>
      </w:pPr>
      <w:r>
        <w:rPr>
          <w:rFonts w:ascii="Calibri" w:hAnsi="Calibri"/>
          <w:color w:val="2D3748"/>
          <w:sz w:val="22"/>
        </w:rPr>
        <w:t>The dataset spans five distinct engineering alloys representing key sectors: automotive, aerospace, medical, and general machinery: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val="clear" w:color="auto" w:fill="1E3A8A"/>
            <w:tcMar>
              <w:top w:w="100" w:type="dxa"/>
              <w:bottom w:w="100" w:type="dxa"/>
              <w:left w:w="120" w:type="dxa"/>
              <w:right w:w="120" w:type="dxa"/>
            </w:tcMar>
          </w:tcPr>
          <w:p>
            <w:pPr>
              <w:spacing w:after="0"/>
              <w:jc w:val="center"/>
            </w:pPr>
            <w:r>
              <w:rPr>
                <w:rFonts w:ascii="Calibri" w:hAnsi="Calibri"/>
                <w:b/>
                <w:color w:val="FFFFFF"/>
                <w:sz w:val="20"/>
              </w:rPr>
              <w:t>Material Designation</w:t>
            </w:r>
          </w:p>
        </w:tc>
        <w:tc>
          <w:tcPr>
            <w:tcW w:type="dxa" w:w="2016"/>
            <w:shd w:val="clear" w:color="auto" w:fill="1E3A8A"/>
            <w:tcMar>
              <w:top w:w="100" w:type="dxa"/>
              <w:bottom w:w="100" w:type="dxa"/>
              <w:left w:w="120" w:type="dxa"/>
              <w:right w:w="120" w:type="dxa"/>
            </w:tcMar>
          </w:tcPr>
          <w:p>
            <w:pPr>
              <w:spacing w:after="0"/>
              <w:jc w:val="center"/>
            </w:pPr>
            <w:r>
              <w:rPr>
                <w:rFonts w:ascii="Calibri" w:hAnsi="Calibri"/>
                <w:b/>
                <w:color w:val="FFFFFF"/>
                <w:sz w:val="20"/>
              </w:rPr>
              <w:t>Material Class</w:t>
            </w:r>
          </w:p>
        </w:tc>
        <w:tc>
          <w:tcPr>
            <w:tcW w:type="dxa" w:w="1440"/>
            <w:shd w:val="clear" w:color="auto" w:fill="1E3A8A"/>
            <w:tcMar>
              <w:top w:w="100" w:type="dxa"/>
              <w:bottom w:w="100" w:type="dxa"/>
              <w:left w:w="120" w:type="dxa"/>
              <w:right w:w="120" w:type="dxa"/>
            </w:tcMar>
          </w:tcPr>
          <w:p>
            <w:pPr>
              <w:spacing w:after="0"/>
              <w:jc w:val="center"/>
            </w:pPr>
            <w:r>
              <w:rPr>
                <w:rFonts w:ascii="Calibri" w:hAnsi="Calibri"/>
                <w:b/>
                <w:color w:val="FFFFFF"/>
                <w:sz w:val="20"/>
              </w:rPr>
              <w:t>Kienzle kc1.1 (N/mm²)</w:t>
            </w:r>
          </w:p>
        </w:tc>
        <w:tc>
          <w:tcPr>
            <w:tcW w:type="dxa" w:w="1008"/>
            <w:shd w:val="clear" w:color="auto" w:fill="1E3A8A"/>
            <w:tcMar>
              <w:top w:w="100" w:type="dxa"/>
              <w:bottom w:w="100" w:type="dxa"/>
              <w:left w:w="120" w:type="dxa"/>
              <w:right w:w="120" w:type="dxa"/>
            </w:tcMar>
          </w:tcPr>
          <w:p>
            <w:pPr>
              <w:spacing w:after="0"/>
              <w:jc w:val="center"/>
            </w:pPr>
            <w:r>
              <w:rPr>
                <w:rFonts w:ascii="Calibri" w:hAnsi="Calibri"/>
                <w:b/>
                <w:color w:val="FFFFFF"/>
                <w:sz w:val="20"/>
              </w:rPr>
              <w:t>Exponent mc</w:t>
            </w:r>
          </w:p>
        </w:tc>
        <w:tc>
          <w:tcPr>
            <w:tcW w:type="dxa" w:w="1296"/>
            <w:shd w:val="clear" w:color="auto" w:fill="1E3A8A"/>
            <w:tcMar>
              <w:top w:w="100" w:type="dxa"/>
              <w:bottom w:w="100" w:type="dxa"/>
              <w:left w:w="120" w:type="dxa"/>
              <w:right w:w="120" w:type="dxa"/>
            </w:tcMar>
          </w:tcPr>
          <w:p>
            <w:pPr>
              <w:spacing w:after="0"/>
              <w:jc w:val="center"/>
            </w:pPr>
            <w:r>
              <w:rPr>
                <w:rFonts w:ascii="Calibri" w:hAnsi="Calibri"/>
                <w:b/>
                <w:color w:val="FFFFFF"/>
                <w:sz w:val="20"/>
              </w:rPr>
              <w:t>Hardness (HB)</w:t>
            </w:r>
          </w:p>
        </w:tc>
        <w:tc>
          <w:tcPr>
            <w:tcW w:type="dxa" w:w="1584"/>
            <w:shd w:val="clear" w:color="auto" w:fill="1E3A8A"/>
            <w:tcMar>
              <w:top w:w="100" w:type="dxa"/>
              <w:bottom w:w="100" w:type="dxa"/>
              <w:left w:w="120" w:type="dxa"/>
              <w:right w:w="120" w:type="dxa"/>
            </w:tcMar>
          </w:tcPr>
          <w:p>
            <w:pPr>
              <w:spacing w:after="0"/>
              <w:jc w:val="center"/>
            </w:pPr>
            <w:r>
              <w:rPr>
                <w:rFonts w:ascii="Calibri" w:hAnsi="Calibri"/>
                <w:b/>
                <w:color w:val="FFFFFF"/>
                <w:sz w:val="20"/>
              </w:rPr>
              <w:t>Base Wear Rate</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AISI 1045 Steel</w:t>
            </w:r>
          </w:p>
        </w:tc>
        <w:tc>
          <w:tcPr>
            <w:tcW w:type="dxa" w:w="2016"/>
            <w:shd w:val="clear" w:color="auto" w:fill="FFFFFF"/>
            <w:tcMar>
              <w:top w:w="80" w:type="dxa"/>
              <w:bottom w:w="80" w:type="dxa"/>
              <w:left w:w="120" w:type="dxa"/>
              <w:right w:w="120" w:type="dxa"/>
            </w:tcMar>
          </w:tcPr>
          <w:p>
            <w:pPr>
              <w:spacing w:after="0"/>
              <w:jc w:val="center"/>
            </w:pPr>
            <w:r>
              <w:rPr>
                <w:rFonts w:ascii="Calibri" w:hAnsi="Calibri"/>
                <w:color w:val="1F2937"/>
                <w:sz w:val="19"/>
              </w:rPr>
              <w:t>Carbon Machinery Steel</w:t>
            </w:r>
          </w:p>
        </w:tc>
        <w:tc>
          <w:tcPr>
            <w:tcW w:type="dxa" w:w="1440"/>
            <w:shd w:val="clear" w:color="auto" w:fill="FFFFFF"/>
            <w:tcMar>
              <w:top w:w="80" w:type="dxa"/>
              <w:bottom w:w="80" w:type="dxa"/>
              <w:left w:w="120" w:type="dxa"/>
              <w:right w:w="120" w:type="dxa"/>
            </w:tcMar>
          </w:tcPr>
          <w:p>
            <w:pPr>
              <w:spacing w:after="0"/>
              <w:jc w:val="center"/>
            </w:pPr>
            <w:r>
              <w:rPr>
                <w:rFonts w:ascii="Calibri" w:hAnsi="Calibri"/>
                <w:color w:val="1F2937"/>
                <w:sz w:val="19"/>
              </w:rPr>
              <w:t>1,800.0</w:t>
            </w:r>
          </w:p>
        </w:tc>
        <w:tc>
          <w:tcPr>
            <w:tcW w:type="dxa" w:w="1008"/>
            <w:shd w:val="clear" w:color="auto" w:fill="FFFFFF"/>
            <w:tcMar>
              <w:top w:w="80" w:type="dxa"/>
              <w:bottom w:w="80" w:type="dxa"/>
              <w:left w:w="120" w:type="dxa"/>
              <w:right w:w="120" w:type="dxa"/>
            </w:tcMar>
          </w:tcPr>
          <w:p>
            <w:pPr>
              <w:spacing w:after="0"/>
              <w:jc w:val="center"/>
            </w:pPr>
            <w:r>
              <w:rPr>
                <w:rFonts w:ascii="Calibri" w:hAnsi="Calibri"/>
                <w:color w:val="1F2937"/>
                <w:sz w:val="19"/>
              </w:rPr>
              <w:t>0.25</w:t>
            </w:r>
          </w:p>
        </w:tc>
        <w:tc>
          <w:tcPr>
            <w:tcW w:type="dxa" w:w="1296"/>
            <w:shd w:val="clear" w:color="auto" w:fill="FFFFFF"/>
            <w:tcMar>
              <w:top w:w="80" w:type="dxa"/>
              <w:bottom w:w="80" w:type="dxa"/>
              <w:left w:w="120" w:type="dxa"/>
              <w:right w:w="120" w:type="dxa"/>
            </w:tcMar>
          </w:tcPr>
          <w:p>
            <w:pPr>
              <w:spacing w:after="0"/>
              <w:jc w:val="center"/>
            </w:pPr>
            <w:r>
              <w:rPr>
                <w:rFonts w:ascii="Calibri" w:hAnsi="Calibri"/>
                <w:color w:val="1F2937"/>
                <w:sz w:val="19"/>
              </w:rPr>
              <w:t>180 - 240</w:t>
            </w:r>
          </w:p>
        </w:tc>
        <w:tc>
          <w:tcPr>
            <w:tcW w:type="dxa" w:w="1584"/>
            <w:shd w:val="clear" w:color="auto" w:fill="FFFFFF"/>
            <w:tcMar>
              <w:top w:w="80" w:type="dxa"/>
              <w:bottom w:w="80" w:type="dxa"/>
              <w:left w:w="120" w:type="dxa"/>
              <w:right w:w="120" w:type="dxa"/>
            </w:tcMar>
          </w:tcPr>
          <w:p>
            <w:pPr>
              <w:spacing w:after="0"/>
              <w:jc w:val="center"/>
            </w:pPr>
            <w:r>
              <w:rPr>
                <w:rFonts w:ascii="Calibri" w:hAnsi="Calibri"/>
                <w:color w:val="1F2937"/>
                <w:sz w:val="19"/>
              </w:rPr>
              <w:t>1.00 (Baseline)</w:t>
            </w:r>
          </w:p>
        </w:tc>
      </w:tr>
      <w:tr>
        <w:tc>
          <w:tcPr>
            <w:tcW w:type="dxa" w:w="2160"/>
            <w:shd w:val="clear" w:color="auto" w:fill="F8FAFC"/>
            <w:tcMar>
              <w:top w:w="80" w:type="dxa"/>
              <w:bottom w:w="80" w:type="dxa"/>
              <w:left w:w="120" w:type="dxa"/>
              <w:right w:w="120" w:type="dxa"/>
            </w:tcMar>
          </w:tcPr>
          <w:p>
            <w:pPr>
              <w:spacing w:after="0"/>
              <w:jc w:val="left"/>
            </w:pPr>
            <w:r>
              <w:rPr>
                <w:rFonts w:ascii="Calibri" w:hAnsi="Calibri"/>
                <w:color w:val="1F2937"/>
                <w:sz w:val="19"/>
              </w:rPr>
              <w:t>AISI 304 Stainless</w:t>
            </w:r>
          </w:p>
        </w:tc>
        <w:tc>
          <w:tcPr>
            <w:tcW w:type="dxa" w:w="2016"/>
            <w:shd w:val="clear" w:color="auto" w:fill="F8FAFC"/>
            <w:tcMar>
              <w:top w:w="80" w:type="dxa"/>
              <w:bottom w:w="80" w:type="dxa"/>
              <w:left w:w="120" w:type="dxa"/>
              <w:right w:w="120" w:type="dxa"/>
            </w:tcMar>
          </w:tcPr>
          <w:p>
            <w:pPr>
              <w:spacing w:after="0"/>
              <w:jc w:val="center"/>
            </w:pPr>
            <w:r>
              <w:rPr>
                <w:rFonts w:ascii="Calibri" w:hAnsi="Calibri"/>
                <w:color w:val="1F2937"/>
                <w:sz w:val="19"/>
              </w:rPr>
              <w:t>Austenitic Stainless Steel</w:t>
            </w:r>
          </w:p>
        </w:tc>
        <w:tc>
          <w:tcPr>
            <w:tcW w:type="dxa" w:w="1440"/>
            <w:shd w:val="clear" w:color="auto" w:fill="F8FAFC"/>
            <w:tcMar>
              <w:top w:w="80" w:type="dxa"/>
              <w:bottom w:w="80" w:type="dxa"/>
              <w:left w:w="120" w:type="dxa"/>
              <w:right w:w="120" w:type="dxa"/>
            </w:tcMar>
          </w:tcPr>
          <w:p>
            <w:pPr>
              <w:spacing w:after="0"/>
              <w:jc w:val="center"/>
            </w:pPr>
            <w:r>
              <w:rPr>
                <w:rFonts w:ascii="Calibri" w:hAnsi="Calibri"/>
                <w:color w:val="1F2937"/>
                <w:sz w:val="19"/>
              </w:rPr>
              <w:t>2,150.0</w:t>
            </w:r>
          </w:p>
        </w:tc>
        <w:tc>
          <w:tcPr>
            <w:tcW w:type="dxa" w:w="1008"/>
            <w:shd w:val="clear" w:color="auto" w:fill="F8FAFC"/>
            <w:tcMar>
              <w:top w:w="80" w:type="dxa"/>
              <w:bottom w:w="80" w:type="dxa"/>
              <w:left w:w="120" w:type="dxa"/>
              <w:right w:w="120" w:type="dxa"/>
            </w:tcMar>
          </w:tcPr>
          <w:p>
            <w:pPr>
              <w:spacing w:after="0"/>
              <w:jc w:val="center"/>
            </w:pPr>
            <w:r>
              <w:rPr>
                <w:rFonts w:ascii="Calibri" w:hAnsi="Calibri"/>
                <w:color w:val="1F2937"/>
                <w:sz w:val="19"/>
              </w:rPr>
              <w:t>0.24</w:t>
            </w:r>
          </w:p>
        </w:tc>
        <w:tc>
          <w:tcPr>
            <w:tcW w:type="dxa" w:w="1296"/>
            <w:shd w:val="clear" w:color="auto" w:fill="F8FAFC"/>
            <w:tcMar>
              <w:top w:w="80" w:type="dxa"/>
              <w:bottom w:w="80" w:type="dxa"/>
              <w:left w:w="120" w:type="dxa"/>
              <w:right w:w="120" w:type="dxa"/>
            </w:tcMar>
          </w:tcPr>
          <w:p>
            <w:pPr>
              <w:spacing w:after="0"/>
              <w:jc w:val="center"/>
            </w:pPr>
            <w:r>
              <w:rPr>
                <w:rFonts w:ascii="Calibri" w:hAnsi="Calibri"/>
                <w:color w:val="1F2937"/>
                <w:sz w:val="19"/>
              </w:rPr>
              <w:t>175 - 230</w:t>
            </w:r>
          </w:p>
        </w:tc>
        <w:tc>
          <w:tcPr>
            <w:tcW w:type="dxa" w:w="1584"/>
            <w:shd w:val="clear" w:color="auto" w:fill="F8FAFC"/>
            <w:tcMar>
              <w:top w:w="80" w:type="dxa"/>
              <w:bottom w:w="80" w:type="dxa"/>
              <w:left w:w="120" w:type="dxa"/>
              <w:right w:w="120" w:type="dxa"/>
            </w:tcMar>
          </w:tcPr>
          <w:p>
            <w:pPr>
              <w:spacing w:after="0"/>
              <w:jc w:val="center"/>
            </w:pPr>
            <w:r>
              <w:rPr>
                <w:rFonts w:ascii="Calibri" w:hAnsi="Calibri"/>
                <w:color w:val="1F2937"/>
                <w:sz w:val="19"/>
              </w:rPr>
              <w:t>1.25 (High Work Hardening)</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Ti-6Al-4V Titanium</w:t>
            </w:r>
          </w:p>
        </w:tc>
        <w:tc>
          <w:tcPr>
            <w:tcW w:type="dxa" w:w="2016"/>
            <w:shd w:val="clear" w:color="auto" w:fill="FFFFFF"/>
            <w:tcMar>
              <w:top w:w="80" w:type="dxa"/>
              <w:bottom w:w="80" w:type="dxa"/>
              <w:left w:w="120" w:type="dxa"/>
              <w:right w:w="120" w:type="dxa"/>
            </w:tcMar>
          </w:tcPr>
          <w:p>
            <w:pPr>
              <w:spacing w:after="0"/>
              <w:jc w:val="center"/>
            </w:pPr>
            <w:r>
              <w:rPr>
                <w:rFonts w:ascii="Calibri" w:hAnsi="Calibri"/>
                <w:color w:val="1F2937"/>
                <w:sz w:val="19"/>
              </w:rPr>
              <w:t>Alpha-Beta Titanium Alloy</w:t>
            </w:r>
          </w:p>
        </w:tc>
        <w:tc>
          <w:tcPr>
            <w:tcW w:type="dxa" w:w="1440"/>
            <w:shd w:val="clear" w:color="auto" w:fill="FFFFFF"/>
            <w:tcMar>
              <w:top w:w="80" w:type="dxa"/>
              <w:bottom w:w="80" w:type="dxa"/>
              <w:left w:w="120" w:type="dxa"/>
              <w:right w:w="120" w:type="dxa"/>
            </w:tcMar>
          </w:tcPr>
          <w:p>
            <w:pPr>
              <w:spacing w:after="0"/>
              <w:jc w:val="center"/>
            </w:pPr>
            <w:r>
              <w:rPr>
                <w:rFonts w:ascii="Calibri" w:hAnsi="Calibri"/>
                <w:color w:val="1F2937"/>
                <w:sz w:val="19"/>
              </w:rPr>
              <w:t>2,750.0</w:t>
            </w:r>
          </w:p>
        </w:tc>
        <w:tc>
          <w:tcPr>
            <w:tcW w:type="dxa" w:w="1008"/>
            <w:shd w:val="clear" w:color="auto" w:fill="FFFFFF"/>
            <w:tcMar>
              <w:top w:w="80" w:type="dxa"/>
              <w:bottom w:w="80" w:type="dxa"/>
              <w:left w:w="120" w:type="dxa"/>
              <w:right w:w="120" w:type="dxa"/>
            </w:tcMar>
          </w:tcPr>
          <w:p>
            <w:pPr>
              <w:spacing w:after="0"/>
              <w:jc w:val="center"/>
            </w:pPr>
            <w:r>
              <w:rPr>
                <w:rFonts w:ascii="Calibri" w:hAnsi="Calibri"/>
                <w:color w:val="1F2937"/>
                <w:sz w:val="19"/>
              </w:rPr>
              <w:t>0.22</w:t>
            </w:r>
          </w:p>
        </w:tc>
        <w:tc>
          <w:tcPr>
            <w:tcW w:type="dxa" w:w="1296"/>
            <w:shd w:val="clear" w:color="auto" w:fill="FFFFFF"/>
            <w:tcMar>
              <w:top w:w="80" w:type="dxa"/>
              <w:bottom w:w="80" w:type="dxa"/>
              <w:left w:w="120" w:type="dxa"/>
              <w:right w:w="120" w:type="dxa"/>
            </w:tcMar>
          </w:tcPr>
          <w:p>
            <w:pPr>
              <w:spacing w:after="0"/>
              <w:jc w:val="center"/>
            </w:pPr>
            <w:r>
              <w:rPr>
                <w:rFonts w:ascii="Calibri" w:hAnsi="Calibri"/>
                <w:color w:val="1F2937"/>
                <w:sz w:val="19"/>
              </w:rPr>
              <w:t>310 - 365</w:t>
            </w:r>
          </w:p>
        </w:tc>
        <w:tc>
          <w:tcPr>
            <w:tcW w:type="dxa" w:w="1584"/>
            <w:shd w:val="clear" w:color="auto" w:fill="FFFFFF"/>
            <w:tcMar>
              <w:top w:w="80" w:type="dxa"/>
              <w:bottom w:w="80" w:type="dxa"/>
              <w:left w:w="120" w:type="dxa"/>
              <w:right w:w="120" w:type="dxa"/>
            </w:tcMar>
          </w:tcPr>
          <w:p>
            <w:pPr>
              <w:spacing w:after="0"/>
              <w:jc w:val="center"/>
            </w:pPr>
            <w:r>
              <w:rPr>
                <w:rFonts w:ascii="Calibri" w:hAnsi="Calibri"/>
                <w:color w:val="1F2937"/>
                <w:sz w:val="19"/>
              </w:rPr>
              <w:t>1.60 (Low Thermal Conductivity)</w:t>
            </w:r>
          </w:p>
        </w:tc>
      </w:tr>
      <w:tr>
        <w:tc>
          <w:tcPr>
            <w:tcW w:type="dxa" w:w="2160"/>
            <w:shd w:val="clear" w:color="auto" w:fill="F8FAFC"/>
            <w:tcMar>
              <w:top w:w="80" w:type="dxa"/>
              <w:bottom w:w="80" w:type="dxa"/>
              <w:left w:w="120" w:type="dxa"/>
              <w:right w:w="120" w:type="dxa"/>
            </w:tcMar>
          </w:tcPr>
          <w:p>
            <w:pPr>
              <w:spacing w:after="0"/>
              <w:jc w:val="left"/>
            </w:pPr>
            <w:r>
              <w:rPr>
                <w:rFonts w:ascii="Calibri" w:hAnsi="Calibri"/>
                <w:color w:val="1F2937"/>
                <w:sz w:val="19"/>
              </w:rPr>
              <w:t>Al 6061-T6 Aluminum</w:t>
            </w:r>
          </w:p>
        </w:tc>
        <w:tc>
          <w:tcPr>
            <w:tcW w:type="dxa" w:w="2016"/>
            <w:shd w:val="clear" w:color="auto" w:fill="F8FAFC"/>
            <w:tcMar>
              <w:top w:w="80" w:type="dxa"/>
              <w:bottom w:w="80" w:type="dxa"/>
              <w:left w:w="120" w:type="dxa"/>
              <w:right w:w="120" w:type="dxa"/>
            </w:tcMar>
          </w:tcPr>
          <w:p>
            <w:pPr>
              <w:spacing w:after="0"/>
              <w:jc w:val="center"/>
            </w:pPr>
            <w:r>
              <w:rPr>
                <w:rFonts w:ascii="Calibri" w:hAnsi="Calibri"/>
                <w:color w:val="1F2937"/>
                <w:sz w:val="19"/>
              </w:rPr>
              <w:t>Precipitation Hardened Alloy</w:t>
            </w:r>
          </w:p>
        </w:tc>
        <w:tc>
          <w:tcPr>
            <w:tcW w:type="dxa" w:w="1440"/>
            <w:shd w:val="clear" w:color="auto" w:fill="F8FAFC"/>
            <w:tcMar>
              <w:top w:w="80" w:type="dxa"/>
              <w:bottom w:w="80" w:type="dxa"/>
              <w:left w:w="120" w:type="dxa"/>
              <w:right w:w="120" w:type="dxa"/>
            </w:tcMar>
          </w:tcPr>
          <w:p>
            <w:pPr>
              <w:spacing w:after="0"/>
              <w:jc w:val="center"/>
            </w:pPr>
            <w:r>
              <w:rPr>
                <w:rFonts w:ascii="Calibri" w:hAnsi="Calibri"/>
                <w:color w:val="1F2937"/>
                <w:sz w:val="19"/>
              </w:rPr>
              <w:t>780.0</w:t>
            </w:r>
          </w:p>
        </w:tc>
        <w:tc>
          <w:tcPr>
            <w:tcW w:type="dxa" w:w="1008"/>
            <w:shd w:val="clear" w:color="auto" w:fill="F8FAFC"/>
            <w:tcMar>
              <w:top w:w="80" w:type="dxa"/>
              <w:bottom w:w="80" w:type="dxa"/>
              <w:left w:w="120" w:type="dxa"/>
              <w:right w:w="120" w:type="dxa"/>
            </w:tcMar>
          </w:tcPr>
          <w:p>
            <w:pPr>
              <w:spacing w:after="0"/>
              <w:jc w:val="center"/>
            </w:pPr>
            <w:r>
              <w:rPr>
                <w:rFonts w:ascii="Calibri" w:hAnsi="Calibri"/>
                <w:color w:val="1F2937"/>
                <w:sz w:val="19"/>
              </w:rPr>
              <w:t>0.28</w:t>
            </w:r>
          </w:p>
        </w:tc>
        <w:tc>
          <w:tcPr>
            <w:tcW w:type="dxa" w:w="1296"/>
            <w:shd w:val="clear" w:color="auto" w:fill="F8FAFC"/>
            <w:tcMar>
              <w:top w:w="80" w:type="dxa"/>
              <w:bottom w:w="80" w:type="dxa"/>
              <w:left w:w="120" w:type="dxa"/>
              <w:right w:w="120" w:type="dxa"/>
            </w:tcMar>
          </w:tcPr>
          <w:p>
            <w:pPr>
              <w:spacing w:after="0"/>
              <w:jc w:val="center"/>
            </w:pPr>
            <w:r>
              <w:rPr>
                <w:rFonts w:ascii="Calibri" w:hAnsi="Calibri"/>
                <w:color w:val="1F2937"/>
                <w:sz w:val="19"/>
              </w:rPr>
              <w:t>85 - 115</w:t>
            </w:r>
          </w:p>
        </w:tc>
        <w:tc>
          <w:tcPr>
            <w:tcW w:type="dxa" w:w="1584"/>
            <w:shd w:val="clear" w:color="auto" w:fill="F8FAFC"/>
            <w:tcMar>
              <w:top w:w="80" w:type="dxa"/>
              <w:bottom w:w="80" w:type="dxa"/>
              <w:left w:w="120" w:type="dxa"/>
              <w:right w:w="120" w:type="dxa"/>
            </w:tcMar>
          </w:tcPr>
          <w:p>
            <w:pPr>
              <w:spacing w:after="0"/>
              <w:jc w:val="center"/>
            </w:pPr>
            <w:r>
              <w:rPr>
                <w:rFonts w:ascii="Calibri" w:hAnsi="Calibri"/>
                <w:color w:val="1F2937"/>
                <w:sz w:val="19"/>
              </w:rPr>
              <w:t>0.50 (High Machinability)</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Inconel 718 Superalloy</w:t>
            </w:r>
          </w:p>
        </w:tc>
        <w:tc>
          <w:tcPr>
            <w:tcW w:type="dxa" w:w="2016"/>
            <w:shd w:val="clear" w:color="auto" w:fill="FFFFFF"/>
            <w:tcMar>
              <w:top w:w="80" w:type="dxa"/>
              <w:bottom w:w="80" w:type="dxa"/>
              <w:left w:w="120" w:type="dxa"/>
              <w:right w:w="120" w:type="dxa"/>
            </w:tcMar>
          </w:tcPr>
          <w:p>
            <w:pPr>
              <w:spacing w:after="0"/>
              <w:jc w:val="center"/>
            </w:pPr>
            <w:r>
              <w:rPr>
                <w:rFonts w:ascii="Calibri" w:hAnsi="Calibri"/>
                <w:color w:val="1F2937"/>
                <w:sz w:val="19"/>
              </w:rPr>
              <w:t>Nickel-Chromium Superalloy</w:t>
            </w:r>
          </w:p>
        </w:tc>
        <w:tc>
          <w:tcPr>
            <w:tcW w:type="dxa" w:w="1440"/>
            <w:shd w:val="clear" w:color="auto" w:fill="FFFFFF"/>
            <w:tcMar>
              <w:top w:w="80" w:type="dxa"/>
              <w:bottom w:w="80" w:type="dxa"/>
              <w:left w:w="120" w:type="dxa"/>
              <w:right w:w="120" w:type="dxa"/>
            </w:tcMar>
          </w:tcPr>
          <w:p>
            <w:pPr>
              <w:spacing w:after="0"/>
              <w:jc w:val="center"/>
            </w:pPr>
            <w:r>
              <w:rPr>
                <w:rFonts w:ascii="Calibri" w:hAnsi="Calibri"/>
                <w:color w:val="1F2937"/>
                <w:sz w:val="19"/>
              </w:rPr>
              <w:t>3,400.0</w:t>
            </w:r>
          </w:p>
        </w:tc>
        <w:tc>
          <w:tcPr>
            <w:tcW w:type="dxa" w:w="1008"/>
            <w:shd w:val="clear" w:color="auto" w:fill="FFFFFF"/>
            <w:tcMar>
              <w:top w:w="80" w:type="dxa"/>
              <w:bottom w:w="80" w:type="dxa"/>
              <w:left w:w="120" w:type="dxa"/>
              <w:right w:w="120" w:type="dxa"/>
            </w:tcMar>
          </w:tcPr>
          <w:p>
            <w:pPr>
              <w:spacing w:after="0"/>
              <w:jc w:val="center"/>
            </w:pPr>
            <w:r>
              <w:rPr>
                <w:rFonts w:ascii="Calibri" w:hAnsi="Calibri"/>
                <w:color w:val="1F2937"/>
                <w:sz w:val="19"/>
              </w:rPr>
              <w:t>0.21</w:t>
            </w:r>
          </w:p>
        </w:tc>
        <w:tc>
          <w:tcPr>
            <w:tcW w:type="dxa" w:w="1296"/>
            <w:shd w:val="clear" w:color="auto" w:fill="FFFFFF"/>
            <w:tcMar>
              <w:top w:w="80" w:type="dxa"/>
              <w:bottom w:w="80" w:type="dxa"/>
              <w:left w:w="120" w:type="dxa"/>
              <w:right w:w="120" w:type="dxa"/>
            </w:tcMar>
          </w:tcPr>
          <w:p>
            <w:pPr>
              <w:spacing w:after="0"/>
              <w:jc w:val="center"/>
            </w:pPr>
            <w:r>
              <w:rPr>
                <w:rFonts w:ascii="Calibri" w:hAnsi="Calibri"/>
                <w:color w:val="1F2937"/>
                <w:sz w:val="19"/>
              </w:rPr>
              <w:t>355 - 445</w:t>
            </w:r>
          </w:p>
        </w:tc>
        <w:tc>
          <w:tcPr>
            <w:tcW w:type="dxa" w:w="1584"/>
            <w:shd w:val="clear" w:color="auto" w:fill="FFFFFF"/>
            <w:tcMar>
              <w:top w:w="80" w:type="dxa"/>
              <w:bottom w:w="80" w:type="dxa"/>
              <w:left w:w="120" w:type="dxa"/>
              <w:right w:w="120" w:type="dxa"/>
            </w:tcMar>
          </w:tcPr>
          <w:p>
            <w:pPr>
              <w:spacing w:after="0"/>
              <w:jc w:val="center"/>
            </w:pPr>
            <w:r>
              <w:rPr>
                <w:rFonts w:ascii="Calibri" w:hAnsi="Calibri"/>
                <w:color w:val="1F2937"/>
                <w:sz w:val="19"/>
              </w:rPr>
              <w:t>2.10 (Severe Abrasive Wear)</w:t>
            </w:r>
          </w:p>
        </w:tc>
      </w:tr>
    </w:tbl>
    <w:p/>
    <w:p>
      <w:pPr>
        <w:keepNext/>
        <w:spacing w:before="360" w:after="120"/>
      </w:pPr>
      <w:r>
        <w:rPr>
          <w:rFonts w:ascii="Calibri" w:hAnsi="Calibri"/>
          <w:b/>
          <w:color w:val="1E3A8A"/>
          <w:sz w:val="32"/>
        </w:rPr>
        <w:t>6. Feature Extraction &amp; Engineering</w:t>
      </w:r>
    </w:p>
    <w:p>
      <w:pPr>
        <w:spacing w:after="120" w:line="276" w:lineRule="auto"/>
      </w:pPr>
      <w:r>
        <w:rPr>
          <w:rFonts w:ascii="Calibri" w:hAnsi="Calibri"/>
          <w:color w:val="2D3748"/>
          <w:sz w:val="22"/>
        </w:rPr>
        <w:t>Raw telemetry and CNC kinematic G-code parameters cannot simply be fed raw into machine learning algorithms without risk of dimensional distortion and non-convergence. A structured feature engineering methodology was implemented in src/data_preprocessing.py:</w:t>
      </w:r>
    </w:p>
    <w:p>
      <w:pPr>
        <w:keepNext/>
        <w:spacing w:before="280" w:after="80"/>
      </w:pPr>
      <w:r>
        <w:rPr>
          <w:rFonts w:ascii="Calibri" w:hAnsi="Calibri"/>
          <w:b/>
          <w:color w:val="2563EB"/>
          <w:sz w:val="26"/>
        </w:rPr>
        <w:t>6.1 Derived Physical Kinematic Features</w:t>
      </w:r>
    </w:p>
    <w:p>
      <w:pPr>
        <w:spacing w:after="120" w:line="276" w:lineRule="auto"/>
      </w:pPr>
      <w:r>
        <w:rPr>
          <w:rFonts w:ascii="Calibri" w:hAnsi="Calibri"/>
          <w:color w:val="2D3748"/>
          <w:sz w:val="22"/>
        </w:rPr>
        <w:t>From fundamental machine tool parameters, four kinematic variables are automatically computed if omitted by user inputs:</w:t>
        <w:br/>
        <w:t xml:space="preserve">  • Rotational Spindle Speed: N = (1,000 * vc) / (pi * D)   [RPM]</w:t>
        <w:br/>
        <w:t xml:space="preserve">  • Linear Table Feed Speed: vf = f * z * N   [mm/min] (for milling, where z is flute count)</w:t>
        <w:br/>
        <w:t xml:space="preserve">  • Material Removal Rate (Milling): MRR = (ap * ae * vf) / 1,000   [cm³/min]</w:t>
        <w:br/>
        <w:t xml:space="preserve">  • Material Removal Rate (Turning): MRR = (vc * ap * f * 1,000) / 1,000   [cm³/min]</w:t>
      </w:r>
    </w:p>
    <w:p>
      <w:pPr>
        <w:keepNext/>
        <w:spacing w:before="280" w:after="80"/>
      </w:pPr>
      <w:r>
        <w:rPr>
          <w:rFonts w:ascii="Calibri" w:hAnsi="Calibri"/>
          <w:b/>
          <w:color w:val="2563EB"/>
          <w:sz w:val="26"/>
        </w:rPr>
        <w:t>6.2 Physics-Informed Interaction Features</w:t>
      </w:r>
    </w:p>
    <w:p>
      <w:pPr>
        <w:spacing w:after="120" w:line="276" w:lineRule="auto"/>
      </w:pPr>
      <w:r>
        <w:rPr>
          <w:rFonts w:ascii="Calibri" w:hAnsi="Calibri"/>
          <w:color w:val="2D3748"/>
          <w:sz w:val="22"/>
        </w:rPr>
        <w:t>To empower both linear and tree-based models with domain-specific physics, seven specialized interaction features were constructed:</w:t>
        <w:br/>
        <w:t xml:space="preserve">  1. Speed_x_Feed (vc * f): Captures the coupled dynamic strain rate and thermal softening effect in the primary shear zone.</w:t>
        <w:br/>
        <w:t xml:space="preserve">  2. Depth_Ratio (ap / ae): Quantifies cutting geometry aspect ratio, differentiating heavy slotting from high-speed peripheral finishing.</w:t>
        <w:br/>
        <w:t xml:space="preserve">  3. MRR_per_Flute (MRR / z): Represents the cyclic mechanical chip load per cutting tooth, directly correlating with spindle torque ripple.</w:t>
        <w:br/>
        <w:t xml:space="preserve">  4. Wear_to_Diameter_Ratio (VB / D): Normalizes tool degradation against cutter rigidity and structural stiffness.</w:t>
        <w:br/>
        <w:t xml:space="preserve">  5. Wear_x_Speed (VB * vc): Quantifies the rate of frictional mechanical work done at the flank wear contact land (parasitic power driver).</w:t>
        <w:br/>
        <w:t xml:space="preserve">  6. Temp_per_MRR (T_cut / MRR): Formulates the thermal dissipation density per unit volumetric chip removal rate.</w:t>
        <w:br/>
        <w:t xml:space="preserve">  7. Wear_Severity_Index (VB / 0.30): Dimensionless health metric standardizing tool flank degradation against the ISO 3685 replacement threshold.</w:t>
      </w:r>
    </w:p>
    <w:p>
      <w:pPr>
        <w:keepNext/>
        <w:spacing w:before="280" w:after="80"/>
      </w:pPr>
      <w:r>
        <w:rPr>
          <w:rFonts w:ascii="Calibri" w:hAnsi="Calibri"/>
          <w:b/>
          <w:color w:val="2563EB"/>
          <w:sz w:val="26"/>
        </w:rPr>
        <w:t>6.3 Data Preprocessing Pipeline</w:t>
      </w:r>
    </w:p>
    <w:p>
      <w:pPr>
        <w:spacing w:after="120" w:line="276" w:lineRule="auto"/>
      </w:pPr>
      <w:r>
        <w:rPr>
          <w:rFonts w:ascii="Calibri" w:hAnsi="Calibri"/>
          <w:color w:val="2D3748"/>
          <w:sz w:val="22"/>
        </w:rPr>
        <w:t>All features are encapsulated within a Scikit-Learn ColumnTransformer pipeline to prevent data leakage:</w:t>
        <w:br/>
        <w:t xml:space="preserve">  • Numerical Features (21 total: 14 base physical variables + 7 engineered interactions): Standardized using StandardScaler to zero mean and unit variance (z = (x - mu) / sigma).</w:t>
        <w:br/>
        <w:t xml:space="preserve">  • Categorical Features (4 total: Operation_Type, Workpiece_Material, Tool_Coating, Coolant_Condition): Transformed via OneHotEncoder with handle_unknown='ignore' and sparse_output=False, expanding into 15 binary indicator dimensions.</w:t>
        <w:br/>
        <w:t>The finalized preprocessed feature matrix comprises 36 orthogonal numerical columns.</w:t>
      </w:r>
    </w:p>
    <w:p>
      <w:pPr>
        <w:keepNext/>
        <w:spacing w:before="360" w:after="120"/>
      </w:pPr>
      <w:r>
        <w:rPr>
          <w:rFonts w:ascii="Calibri" w:hAnsi="Calibri"/>
          <w:b/>
          <w:color w:val="1E3A8A"/>
          <w:sz w:val="32"/>
        </w:rPr>
        <w:t>7. Model and Algorithm Formulations</w:t>
      </w:r>
    </w:p>
    <w:p>
      <w:pPr>
        <w:spacing w:after="120" w:line="276" w:lineRule="auto"/>
      </w:pPr>
      <w:r>
        <w:rPr>
          <w:rFonts w:ascii="Calibri" w:hAnsi="Calibri"/>
          <w:color w:val="2D3748"/>
          <w:sz w:val="22"/>
        </w:rPr>
        <w:t>Three distinct algorithmic paradigms were implemented, trained, and benchmarked to evaluate the spectrum of machine learning architectures:</w:t>
      </w:r>
    </w:p>
    <w:p>
      <w:pPr>
        <w:keepNext/>
        <w:spacing w:before="280" w:after="80"/>
      </w:pPr>
      <w:r>
        <w:rPr>
          <w:rFonts w:ascii="Calibri" w:hAnsi="Calibri"/>
          <w:b/>
          <w:color w:val="2563EB"/>
          <w:sz w:val="26"/>
        </w:rPr>
        <w:t>7.1 Linear Regression (Ordinary Least Squares)</w:t>
      </w:r>
    </w:p>
    <w:p>
      <w:pPr>
        <w:spacing w:after="120" w:line="276" w:lineRule="auto"/>
      </w:pPr>
      <w:r>
        <w:rPr>
          <w:rFonts w:ascii="Calibri" w:hAnsi="Calibri"/>
          <w:color w:val="2D3748"/>
          <w:sz w:val="22"/>
        </w:rPr>
        <w:t>Linear Regression serves as the fundamental parametric benchmark. The active electrical power is modeled as a linear combination of the 32 preprocessed input features plus a bias intercept term:</w:t>
        <w:br/>
        <w:t>y_hat = beta_0 + sum(beta_j * x_j)</w:t>
        <w:br/>
        <w:br/>
        <w:t>The model parameters beta are optimized by minimizing the residual sum of squares (RSS):</w:t>
        <w:br/>
        <w:t>min_beta || y - X * beta ||²</w:t>
        <w:br/>
        <w:br/>
        <w:t>Under full-rank assumptions, the analytical closed-form solution (the Normal Equation) is:</w:t>
        <w:br/>
        <w:t>beta_hat = (X^T * X)^(-1) * X^T * y</w:t>
        <w:br/>
        <w:br/>
        <w:t>Characteristics: Linear Regression exhibits unmatched training and inference speed (0.011s fit time). However, because cutting force and motor efficiency obey power-law and logarithmic dependencies (e.g., Kienzle size effect h^(1-mc)), Linear Regression is theoretically handicapped by structural underfitting (high bias).</w:t>
      </w:r>
    </w:p>
    <w:p>
      <w:pPr>
        <w:keepNext/>
        <w:spacing w:before="280" w:after="80"/>
      </w:pPr>
      <w:r>
        <w:rPr>
          <w:rFonts w:ascii="Calibri" w:hAnsi="Calibri"/>
          <w:b/>
          <w:color w:val="2563EB"/>
          <w:sz w:val="26"/>
        </w:rPr>
        <w:t>7.2 Decision Tree Regressor (CART Architecture)</w:t>
      </w:r>
    </w:p>
    <w:p>
      <w:pPr>
        <w:spacing w:after="120" w:line="276" w:lineRule="auto"/>
      </w:pPr>
      <w:r>
        <w:rPr>
          <w:rFonts w:ascii="Calibri" w:hAnsi="Calibri"/>
          <w:color w:val="2D3748"/>
          <w:sz w:val="22"/>
        </w:rPr>
        <w:t>The Decision Tree Regressor employs the Classification and Regression Trees (CART) algorithm to partition the continuous 32-dimensional feature space into M disjoint hyper-rectangular regions R_1, R_2, ..., R_M. For any input vector falling into region R_m, the predicted power is simply the empirical mean of all training observations within that region:</w:t>
        <w:br/>
        <w:t>y_hat(x) = (1 / N_m) * sum_{i in R_m} y_i</w:t>
        <w:br/>
        <w:br/>
        <w:t>At each node split, the algorithm evaluates all available features j and candidate split thresholds s to maximize variance reduction (MSE reduction):</w:t>
        <w:br/>
        <w:t>Delta_I = Var(D) - [ (N_L / N) * Var(D_L) + (N_R / N) * Var(D_R) ]</w:t>
        <w:br/>
        <w:br/>
        <w:t>Characteristics: Decision Trees can capture complex non-linear thresholds (e.g., abrupt shifts between dry and cryogenic cooling or critical tool wear boundaries). However, unpruned trees suffer from high variance and sensitivity to sensor noise, requiring strict hyperparameter depth regularization.</w:t>
      </w:r>
    </w:p>
    <w:p>
      <w:pPr>
        <w:keepNext/>
        <w:spacing w:before="280" w:after="80"/>
      </w:pPr>
      <w:r>
        <w:rPr>
          <w:rFonts w:ascii="Calibri" w:hAnsi="Calibri"/>
          <w:b/>
          <w:color w:val="2563EB"/>
          <w:sz w:val="26"/>
        </w:rPr>
        <w:t>7.3 Random Forest Regressor (Ensemble Bagging Architecture)</w:t>
      </w:r>
    </w:p>
    <w:p>
      <w:pPr>
        <w:spacing w:after="120" w:line="276" w:lineRule="auto"/>
      </w:pPr>
      <w:r>
        <w:rPr>
          <w:rFonts w:ascii="Calibri" w:hAnsi="Calibri"/>
          <w:color w:val="2D3748"/>
          <w:sz w:val="22"/>
        </w:rPr>
        <w:t>Random Forest overcomes the instability of individual decision trees through bootstrap aggregation (bagging) and random feature subspace selection. The ensemble constructs B = 150 independent decision trees:</w:t>
        <w:br/>
        <w:t xml:space="preserve">  1. Bootstrap Sampling: Each tree T_b is trained on an independently drawn bootstrap dataset D^(b) sampled with replacement from the 10,000 training observations (~63.2% unique records per tree; ~36.8% out-of-bag).</w:t>
        <w:br/>
        <w:t xml:space="preserve">  2. Random Subspace Feature Selection: At each split within each tree, only a random subset of m = sqrt(p) = sqrt(32) ≈ 5 features is considered, heavily decorrelating the individual trees.</w:t>
        <w:br/>
        <w:t xml:space="preserve">  3. Ensemble Aggregation: The ensemble prediction is the arithmetic mean across all B trees:</w:t>
        <w:br/>
        <w:t>y_hat_RF(x) = (1 / B) * sum_{b=1}^B T_b(x)</w:t>
        <w:br/>
        <w:br/>
        <w:t>Theoretical Variance Reduction: If each tree has variance sigma² and pairwise correlation rho, the ensemble variance is:</w:t>
        <w:br/>
        <w:t>Var(y_hat_RF) = rho * sigma² + [ (1 - rho) / B ] * sigma²</w:t>
        <w:br/>
        <w:t>As B increases, the second term vanishes, yielding an extraordinarily stable, low-variance estimator that dominates tabular regression benchmarks.</w:t>
      </w:r>
    </w:p>
    <w:p>
      <w:pPr>
        <w:keepNext/>
        <w:spacing w:before="360" w:after="120"/>
      </w:pPr>
      <w:r>
        <w:rPr>
          <w:rFonts w:ascii="Calibri" w:hAnsi="Calibri"/>
          <w:b/>
          <w:color w:val="1E3A8A"/>
          <w:sz w:val="32"/>
        </w:rPr>
        <w:t>8. Methodology &amp; Pipeline Architecture</w:t>
      </w:r>
    </w:p>
    <w:p>
      <w:pPr>
        <w:spacing w:after="120" w:line="276" w:lineRule="auto"/>
      </w:pPr>
      <w:r>
        <w:rPr>
          <w:rFonts w:ascii="Calibri" w:hAnsi="Calibri"/>
          <w:color w:val="2D3748"/>
          <w:sz w:val="22"/>
        </w:rPr>
        <w:t>The project enforces an end-to-end modular architecture organized under the src/ package directory:</w:t>
        <w:br/>
        <w:t xml:space="preserve">  • src/download_data.py: Ingests, checks file presence, verifies schema integrity, and validates physics boundaries.</w:t>
        <w:br/>
        <w:t xml:space="preserve">  • src/data_preprocessing.py: Conducts feature engineering, fits ColumnTransformer, and saves train/test splits.</w:t>
        <w:br/>
        <w:t xml:space="preserve">  • src/train.py: Executes 5-fold cross-validation, runs GridSearchCV hyperparameter tuning, fits all 3 models, and serializes artifacts.</w:t>
        <w:br/>
        <w:t xml:space="preserve">  • src/test.py: Loads holdout test set (2,500 samples), computes benchmark metrics, and generates diagnostic plots.</w:t>
        <w:br/>
        <w:t xml:space="preserve">  • src/load.py: Provides high-level loading utilities and multi-model inference functions for live production integration.</w:t>
        <w:br/>
        <w:t xml:space="preserve">  • run_pipeline.py: Master execution script orchestrating the entire lifecycle in a single command.</w:t>
      </w:r>
    </w:p>
    <w:p>
      <w:pPr>
        <w:keepNext/>
        <w:spacing w:before="360" w:after="120"/>
      </w:pPr>
      <w:r>
        <w:rPr>
          <w:rFonts w:ascii="Calibri" w:hAnsi="Calibri"/>
          <w:b/>
          <w:color w:val="1E3A8A"/>
          <w:sz w:val="32"/>
        </w:rPr>
        <w:t>9. Model Training &amp; Computational Benchmarking</w:t>
      </w:r>
    </w:p>
    <w:p>
      <w:pPr>
        <w:spacing w:after="120" w:line="276" w:lineRule="auto"/>
      </w:pPr>
      <w:r>
        <w:rPr>
          <w:rFonts w:ascii="Calibri" w:hAnsi="Calibri"/>
          <w:color w:val="2D3748"/>
          <w:sz w:val="22"/>
        </w:rPr>
        <w:t>Model training was executed on 10,000 training observations across 36 transformed features (incorporating Tool Flank Wear VB and Cutting Temperature T_cut) on an Intel/AMD multicore workstation. Computational efficiency, convergence speed, and memory consumption were logged for each algorithm:</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val="clear" w:color="auto" w:fill="1E3A8A"/>
            <w:tcMar>
              <w:top w:w="100" w:type="dxa"/>
              <w:bottom w:w="100" w:type="dxa"/>
              <w:left w:w="120" w:type="dxa"/>
              <w:right w:w="120" w:type="dxa"/>
            </w:tcMar>
          </w:tcPr>
          <w:p>
            <w:pPr>
              <w:spacing w:after="0"/>
              <w:jc w:val="center"/>
            </w:pPr>
            <w:r>
              <w:rPr>
                <w:rFonts w:ascii="Calibri" w:hAnsi="Calibri"/>
                <w:b/>
                <w:color w:val="FFFFFF"/>
                <w:sz w:val="20"/>
              </w:rPr>
              <w:t>Algorithm</w:t>
            </w:r>
          </w:p>
        </w:tc>
        <w:tc>
          <w:tcPr>
            <w:tcW w:type="dxa" w:w="1728"/>
            <w:shd w:val="clear" w:color="auto" w:fill="1E3A8A"/>
            <w:tcMar>
              <w:top w:w="100" w:type="dxa"/>
              <w:bottom w:w="100" w:type="dxa"/>
              <w:left w:w="120" w:type="dxa"/>
              <w:right w:w="120" w:type="dxa"/>
            </w:tcMar>
          </w:tcPr>
          <w:p>
            <w:pPr>
              <w:spacing w:after="0"/>
              <w:jc w:val="center"/>
            </w:pPr>
            <w:r>
              <w:rPr>
                <w:rFonts w:ascii="Calibri" w:hAnsi="Calibri"/>
                <w:b/>
                <w:color w:val="FFFFFF"/>
                <w:sz w:val="20"/>
              </w:rPr>
              <w:t>Model Paradigm</w:t>
            </w:r>
          </w:p>
        </w:tc>
        <w:tc>
          <w:tcPr>
            <w:tcW w:type="dxa" w:w="1152"/>
            <w:shd w:val="clear" w:color="auto" w:fill="1E3A8A"/>
            <w:tcMar>
              <w:top w:w="100" w:type="dxa"/>
              <w:bottom w:w="100" w:type="dxa"/>
              <w:left w:w="120" w:type="dxa"/>
              <w:right w:w="120" w:type="dxa"/>
            </w:tcMar>
          </w:tcPr>
          <w:p>
            <w:pPr>
              <w:spacing w:after="0"/>
              <w:jc w:val="center"/>
            </w:pPr>
            <w:r>
              <w:rPr>
                <w:rFonts w:ascii="Calibri" w:hAnsi="Calibri"/>
                <w:b/>
                <w:color w:val="FFFFFF"/>
                <w:sz w:val="20"/>
              </w:rPr>
              <w:t>Fit Time (s)</w:t>
            </w:r>
          </w:p>
        </w:tc>
        <w:tc>
          <w:tcPr>
            <w:tcW w:type="dxa" w:w="1008"/>
            <w:shd w:val="clear" w:color="auto" w:fill="1E3A8A"/>
            <w:tcMar>
              <w:top w:w="100" w:type="dxa"/>
              <w:bottom w:w="100" w:type="dxa"/>
              <w:left w:w="120" w:type="dxa"/>
              <w:right w:w="120" w:type="dxa"/>
            </w:tcMar>
          </w:tcPr>
          <w:p>
            <w:pPr>
              <w:spacing w:after="0"/>
              <w:jc w:val="center"/>
            </w:pPr>
            <w:r>
              <w:rPr>
                <w:rFonts w:ascii="Calibri" w:hAnsi="Calibri"/>
                <w:b/>
                <w:color w:val="FFFFFF"/>
                <w:sz w:val="20"/>
              </w:rPr>
              <w:t>Train R²</w:t>
            </w:r>
          </w:p>
        </w:tc>
        <w:tc>
          <w:tcPr>
            <w:tcW w:type="dxa" w:w="1296"/>
            <w:shd w:val="clear" w:color="auto" w:fill="1E3A8A"/>
            <w:tcMar>
              <w:top w:w="100" w:type="dxa"/>
              <w:bottom w:w="100" w:type="dxa"/>
              <w:left w:w="120" w:type="dxa"/>
              <w:right w:w="120" w:type="dxa"/>
            </w:tcMar>
          </w:tcPr>
          <w:p>
            <w:pPr>
              <w:spacing w:after="0"/>
              <w:jc w:val="center"/>
            </w:pPr>
            <w:r>
              <w:rPr>
                <w:rFonts w:ascii="Calibri" w:hAnsi="Calibri"/>
                <w:b/>
                <w:color w:val="FFFFFF"/>
                <w:sz w:val="20"/>
              </w:rPr>
              <w:t>Train RMSE (kW)</w:t>
            </w:r>
          </w:p>
        </w:tc>
        <w:tc>
          <w:tcPr>
            <w:tcW w:type="dxa" w:w="1152"/>
            <w:shd w:val="clear" w:color="auto" w:fill="1E3A8A"/>
            <w:tcMar>
              <w:top w:w="100" w:type="dxa"/>
              <w:bottom w:w="100" w:type="dxa"/>
              <w:left w:w="120" w:type="dxa"/>
              <w:right w:w="120" w:type="dxa"/>
            </w:tcMar>
          </w:tcPr>
          <w:p>
            <w:pPr>
              <w:spacing w:after="0"/>
              <w:jc w:val="center"/>
            </w:pPr>
            <w:r>
              <w:rPr>
                <w:rFonts w:ascii="Calibri" w:hAnsi="Calibri"/>
                <w:b/>
                <w:color w:val="FFFFFF"/>
                <w:sz w:val="20"/>
              </w:rPr>
              <w:t>Train MAE (kW)</w:t>
            </w:r>
          </w:p>
        </w:tc>
        <w:tc>
          <w:tcPr>
            <w:tcW w:type="dxa" w:w="1152"/>
            <w:shd w:val="clear" w:color="auto" w:fill="1E3A8A"/>
            <w:tcMar>
              <w:top w:w="100" w:type="dxa"/>
              <w:bottom w:w="100" w:type="dxa"/>
              <w:left w:w="120" w:type="dxa"/>
              <w:right w:w="120" w:type="dxa"/>
            </w:tcMar>
          </w:tcPr>
          <w:p>
            <w:pPr>
              <w:spacing w:after="0"/>
              <w:jc w:val="center"/>
            </w:pPr>
            <w:r>
              <w:rPr>
                <w:rFonts w:ascii="Calibri" w:hAnsi="Calibri"/>
                <w:b/>
                <w:color w:val="FFFFFF"/>
                <w:sz w:val="20"/>
              </w:rPr>
              <w:t>Train MAPE (%)</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Linear Regression</w:t>
            </w:r>
          </w:p>
        </w:tc>
        <w:tc>
          <w:tcPr>
            <w:tcW w:type="dxa" w:w="1728"/>
            <w:shd w:val="clear" w:color="auto" w:fill="FFFFFF"/>
            <w:tcMar>
              <w:top w:w="80" w:type="dxa"/>
              <w:bottom w:w="80" w:type="dxa"/>
              <w:left w:w="120" w:type="dxa"/>
              <w:right w:w="120" w:type="dxa"/>
            </w:tcMar>
          </w:tcPr>
          <w:p>
            <w:pPr>
              <w:spacing w:after="0"/>
              <w:jc w:val="center"/>
            </w:pPr>
            <w:r>
              <w:rPr>
                <w:rFonts w:ascii="Calibri" w:hAnsi="Calibri"/>
                <w:color w:val="1F2937"/>
                <w:sz w:val="19"/>
              </w:rPr>
              <w:t>Parametric / OLS</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0.030 s</w:t>
            </w:r>
          </w:p>
        </w:tc>
        <w:tc>
          <w:tcPr>
            <w:tcW w:type="dxa" w:w="1008"/>
            <w:shd w:val="clear" w:color="auto" w:fill="FFFFFF"/>
            <w:tcMar>
              <w:top w:w="80" w:type="dxa"/>
              <w:bottom w:w="80" w:type="dxa"/>
              <w:left w:w="120" w:type="dxa"/>
              <w:right w:w="120" w:type="dxa"/>
            </w:tcMar>
          </w:tcPr>
          <w:p>
            <w:pPr>
              <w:spacing w:after="0"/>
              <w:jc w:val="center"/>
            </w:pPr>
            <w:r>
              <w:rPr>
                <w:rFonts w:ascii="Calibri" w:hAnsi="Calibri"/>
                <w:color w:val="1F2937"/>
                <w:sz w:val="19"/>
              </w:rPr>
              <w:t>0.8648</w:t>
            </w:r>
          </w:p>
        </w:tc>
        <w:tc>
          <w:tcPr>
            <w:tcW w:type="dxa" w:w="1296"/>
            <w:shd w:val="clear" w:color="auto" w:fill="FFFFFF"/>
            <w:tcMar>
              <w:top w:w="80" w:type="dxa"/>
              <w:bottom w:w="80" w:type="dxa"/>
              <w:left w:w="120" w:type="dxa"/>
              <w:right w:w="120" w:type="dxa"/>
            </w:tcMar>
          </w:tcPr>
          <w:p>
            <w:pPr>
              <w:spacing w:after="0"/>
              <w:jc w:val="center"/>
            </w:pPr>
            <w:r>
              <w:rPr>
                <w:rFonts w:ascii="Calibri" w:hAnsi="Calibri"/>
                <w:color w:val="1F2937"/>
                <w:sz w:val="19"/>
              </w:rPr>
              <w:t>1.471 kW</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1.042 kW</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16.28%</w:t>
            </w:r>
          </w:p>
        </w:tc>
      </w:tr>
      <w:tr>
        <w:tc>
          <w:tcPr>
            <w:tcW w:type="dxa" w:w="2160"/>
            <w:shd w:val="clear" w:color="auto" w:fill="F8FAFC"/>
            <w:tcMar>
              <w:top w:w="80" w:type="dxa"/>
              <w:bottom w:w="80" w:type="dxa"/>
              <w:left w:w="120" w:type="dxa"/>
              <w:right w:w="120" w:type="dxa"/>
            </w:tcMar>
          </w:tcPr>
          <w:p>
            <w:pPr>
              <w:spacing w:after="0"/>
              <w:jc w:val="left"/>
            </w:pPr>
            <w:r>
              <w:rPr>
                <w:rFonts w:ascii="Calibri" w:hAnsi="Calibri"/>
                <w:color w:val="1F2937"/>
                <w:sz w:val="19"/>
              </w:rPr>
              <w:t>Decision Tree (Tuned)</w:t>
            </w:r>
          </w:p>
        </w:tc>
        <w:tc>
          <w:tcPr>
            <w:tcW w:type="dxa" w:w="1728"/>
            <w:shd w:val="clear" w:color="auto" w:fill="F8FAFC"/>
            <w:tcMar>
              <w:top w:w="80" w:type="dxa"/>
              <w:bottom w:w="80" w:type="dxa"/>
              <w:left w:w="120" w:type="dxa"/>
              <w:right w:w="120" w:type="dxa"/>
            </w:tcMar>
          </w:tcPr>
          <w:p>
            <w:pPr>
              <w:spacing w:after="0"/>
              <w:jc w:val="center"/>
            </w:pPr>
            <w:r>
              <w:rPr>
                <w:rFonts w:ascii="Calibri" w:hAnsi="Calibri"/>
                <w:color w:val="1F2937"/>
                <w:sz w:val="19"/>
              </w:rPr>
              <w:t>Non-Linear CART</w:t>
            </w:r>
          </w:p>
        </w:tc>
        <w:tc>
          <w:tcPr>
            <w:tcW w:type="dxa" w:w="1152"/>
            <w:shd w:val="clear" w:color="auto" w:fill="F8FAFC"/>
            <w:tcMar>
              <w:top w:w="80" w:type="dxa"/>
              <w:bottom w:w="80" w:type="dxa"/>
              <w:left w:w="120" w:type="dxa"/>
              <w:right w:w="120" w:type="dxa"/>
            </w:tcMar>
          </w:tcPr>
          <w:p>
            <w:pPr>
              <w:spacing w:after="0"/>
              <w:jc w:val="center"/>
            </w:pPr>
            <w:r>
              <w:rPr>
                <w:rFonts w:ascii="Calibri" w:hAnsi="Calibri"/>
                <w:color w:val="1F2937"/>
                <w:sz w:val="19"/>
              </w:rPr>
              <w:t>13.124 s*</w:t>
            </w:r>
          </w:p>
        </w:tc>
        <w:tc>
          <w:tcPr>
            <w:tcW w:type="dxa" w:w="1008"/>
            <w:shd w:val="clear" w:color="auto" w:fill="F8FAFC"/>
            <w:tcMar>
              <w:top w:w="80" w:type="dxa"/>
              <w:bottom w:w="80" w:type="dxa"/>
              <w:left w:w="120" w:type="dxa"/>
              <w:right w:w="120" w:type="dxa"/>
            </w:tcMar>
          </w:tcPr>
          <w:p>
            <w:pPr>
              <w:spacing w:after="0"/>
              <w:jc w:val="center"/>
            </w:pPr>
            <w:r>
              <w:rPr>
                <w:rFonts w:ascii="Calibri" w:hAnsi="Calibri"/>
                <w:color w:val="1F2937"/>
                <w:sz w:val="19"/>
              </w:rPr>
              <w:t>0.9761</w:t>
            </w:r>
          </w:p>
        </w:tc>
        <w:tc>
          <w:tcPr>
            <w:tcW w:type="dxa" w:w="1296"/>
            <w:shd w:val="clear" w:color="auto" w:fill="F8FAFC"/>
            <w:tcMar>
              <w:top w:w="80" w:type="dxa"/>
              <w:bottom w:w="80" w:type="dxa"/>
              <w:left w:w="120" w:type="dxa"/>
              <w:right w:w="120" w:type="dxa"/>
            </w:tcMar>
          </w:tcPr>
          <w:p>
            <w:pPr>
              <w:spacing w:after="0"/>
              <w:jc w:val="center"/>
            </w:pPr>
            <w:r>
              <w:rPr>
                <w:rFonts w:ascii="Calibri" w:hAnsi="Calibri"/>
                <w:color w:val="1F2937"/>
                <w:sz w:val="19"/>
              </w:rPr>
              <w:t>0.619 kW</w:t>
            </w:r>
          </w:p>
        </w:tc>
        <w:tc>
          <w:tcPr>
            <w:tcW w:type="dxa" w:w="1152"/>
            <w:shd w:val="clear" w:color="auto" w:fill="F8FAFC"/>
            <w:tcMar>
              <w:top w:w="80" w:type="dxa"/>
              <w:bottom w:w="80" w:type="dxa"/>
              <w:left w:w="120" w:type="dxa"/>
              <w:right w:w="120" w:type="dxa"/>
            </w:tcMar>
          </w:tcPr>
          <w:p>
            <w:pPr>
              <w:spacing w:after="0"/>
              <w:jc w:val="center"/>
            </w:pPr>
            <w:r>
              <w:rPr>
                <w:rFonts w:ascii="Calibri" w:hAnsi="Calibri"/>
                <w:color w:val="1F2937"/>
                <w:sz w:val="19"/>
              </w:rPr>
              <w:t>0.432 kW</w:t>
            </w:r>
          </w:p>
        </w:tc>
        <w:tc>
          <w:tcPr>
            <w:tcW w:type="dxa" w:w="1152"/>
            <w:shd w:val="clear" w:color="auto" w:fill="F8FAFC"/>
            <w:tcMar>
              <w:top w:w="80" w:type="dxa"/>
              <w:bottom w:w="80" w:type="dxa"/>
              <w:left w:w="120" w:type="dxa"/>
              <w:right w:w="120" w:type="dxa"/>
            </w:tcMar>
          </w:tcPr>
          <w:p>
            <w:pPr>
              <w:spacing w:after="0"/>
              <w:jc w:val="center"/>
            </w:pPr>
            <w:r>
              <w:rPr>
                <w:rFonts w:ascii="Calibri" w:hAnsi="Calibri"/>
                <w:color w:val="1F2937"/>
                <w:sz w:val="19"/>
              </w:rPr>
              <w:t>6.42%</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Random Forest (150 Trees)</w:t>
            </w:r>
          </w:p>
        </w:tc>
        <w:tc>
          <w:tcPr>
            <w:tcW w:type="dxa" w:w="1728"/>
            <w:shd w:val="clear" w:color="auto" w:fill="FFFFFF"/>
            <w:tcMar>
              <w:top w:w="80" w:type="dxa"/>
              <w:bottom w:w="80" w:type="dxa"/>
              <w:left w:w="120" w:type="dxa"/>
              <w:right w:w="120" w:type="dxa"/>
            </w:tcMar>
          </w:tcPr>
          <w:p>
            <w:pPr>
              <w:spacing w:after="0"/>
              <w:jc w:val="center"/>
            </w:pPr>
            <w:r>
              <w:rPr>
                <w:rFonts w:ascii="Calibri" w:hAnsi="Calibri"/>
                <w:color w:val="1F2937"/>
                <w:sz w:val="19"/>
              </w:rPr>
              <w:t>Ensemble Bagging</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0.994 s</w:t>
            </w:r>
          </w:p>
        </w:tc>
        <w:tc>
          <w:tcPr>
            <w:tcW w:type="dxa" w:w="1008"/>
            <w:shd w:val="clear" w:color="auto" w:fill="FFFFFF"/>
            <w:tcMar>
              <w:top w:w="80" w:type="dxa"/>
              <w:bottom w:w="80" w:type="dxa"/>
              <w:left w:w="120" w:type="dxa"/>
              <w:right w:w="120" w:type="dxa"/>
            </w:tcMar>
          </w:tcPr>
          <w:p>
            <w:pPr>
              <w:spacing w:after="0"/>
              <w:jc w:val="center"/>
            </w:pPr>
            <w:r>
              <w:rPr>
                <w:rFonts w:ascii="Calibri" w:hAnsi="Calibri"/>
                <w:color w:val="1F2937"/>
                <w:sz w:val="19"/>
              </w:rPr>
              <w:t>0.9880</w:t>
            </w:r>
          </w:p>
        </w:tc>
        <w:tc>
          <w:tcPr>
            <w:tcW w:type="dxa" w:w="1296"/>
            <w:shd w:val="clear" w:color="auto" w:fill="FFFFFF"/>
            <w:tcMar>
              <w:top w:w="80" w:type="dxa"/>
              <w:bottom w:w="80" w:type="dxa"/>
              <w:left w:w="120" w:type="dxa"/>
              <w:right w:w="120" w:type="dxa"/>
            </w:tcMar>
          </w:tcPr>
          <w:p>
            <w:pPr>
              <w:spacing w:after="0"/>
              <w:jc w:val="center"/>
            </w:pPr>
            <w:r>
              <w:rPr>
                <w:rFonts w:ascii="Calibri" w:hAnsi="Calibri"/>
                <w:color w:val="1F2937"/>
                <w:sz w:val="19"/>
              </w:rPr>
              <w:t>0.439 kW</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0.299 kW</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4.35%</w:t>
            </w:r>
          </w:p>
        </w:tc>
      </w:tr>
    </w:tbl>
    <w:p/>
    <w:p>
      <w:pPr>
        <w:spacing w:after="120" w:line="276" w:lineRule="auto"/>
      </w:pPr>
      <w:r>
        <w:rPr>
          <w:rFonts w:ascii="Calibri" w:hAnsi="Calibri"/>
          <w:color w:val="2D3748"/>
          <w:sz w:val="22"/>
        </w:rPr>
        <w:t>*Note: Decision Tree fit time includes full 5-fold cross-validated GridSearchCV across 36 hyperparameter permutations.</w:t>
      </w:r>
    </w:p>
    <w:p>
      <w:pPr>
        <w:keepNext/>
        <w:spacing w:before="360" w:after="120"/>
      </w:pPr>
      <w:r>
        <w:rPr>
          <w:rFonts w:ascii="Calibri" w:hAnsi="Calibri"/>
          <w:b/>
          <w:color w:val="1E3A8A"/>
          <w:sz w:val="32"/>
        </w:rPr>
        <w:t>10. Model Testing &amp; Holdout Evaluation</w:t>
      </w:r>
    </w:p>
    <w:p>
      <w:pPr>
        <w:spacing w:after="120" w:line="276" w:lineRule="auto"/>
      </w:pPr>
      <w:r>
        <w:rPr>
          <w:rFonts w:ascii="Calibri" w:hAnsi="Calibri"/>
          <w:color w:val="2D3748"/>
          <w:sz w:val="22"/>
        </w:rPr>
        <w:t>To rigorously evaluate real-world generalization, each model was evaluated on 2,500 unseen holdout observations strictly withheld from training and hyperparameter tuning. Evaluation metrics include R², RMSE (kW), MAE (kW), MAPE (%), Max Error (kW), and inference latency (ms per 1,000 predictions):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296"/>
            <w:shd w:val="clear" w:color="auto" w:fill="1E3A8A"/>
            <w:tcMar>
              <w:top w:w="100" w:type="dxa"/>
              <w:bottom w:w="100" w:type="dxa"/>
              <w:left w:w="120" w:type="dxa"/>
              <w:right w:w="120" w:type="dxa"/>
            </w:tcMar>
          </w:tcPr>
          <w:p>
            <w:pPr>
              <w:spacing w:after="0"/>
              <w:jc w:val="center"/>
            </w:pPr>
            <w:r>
              <w:rPr>
                <w:rFonts w:ascii="Calibri" w:hAnsi="Calibri"/>
                <w:b/>
                <w:color w:val="FFFFFF"/>
                <w:sz w:val="20"/>
              </w:rPr>
              <w:t>Rank</w:t>
            </w:r>
          </w:p>
        </w:tc>
        <w:tc>
          <w:tcPr>
            <w:tcW w:type="dxa" w:w="2304"/>
            <w:shd w:val="clear" w:color="auto" w:fill="1E3A8A"/>
            <w:tcMar>
              <w:top w:w="100" w:type="dxa"/>
              <w:bottom w:w="100" w:type="dxa"/>
              <w:left w:w="120" w:type="dxa"/>
              <w:right w:w="120" w:type="dxa"/>
            </w:tcMar>
          </w:tcPr>
          <w:p>
            <w:pPr>
              <w:spacing w:after="0"/>
              <w:jc w:val="center"/>
            </w:pPr>
            <w:r>
              <w:rPr>
                <w:rFonts w:ascii="Calibri" w:hAnsi="Calibri"/>
                <w:b/>
                <w:color w:val="FFFFFF"/>
                <w:sz w:val="20"/>
              </w:rPr>
              <w:t>Algorithm</w:t>
            </w:r>
          </w:p>
        </w:tc>
        <w:tc>
          <w:tcPr>
            <w:tcW w:type="dxa" w:w="1008"/>
            <w:shd w:val="clear" w:color="auto" w:fill="1E3A8A"/>
            <w:tcMar>
              <w:top w:w="100" w:type="dxa"/>
              <w:bottom w:w="100" w:type="dxa"/>
              <w:left w:w="120" w:type="dxa"/>
              <w:right w:w="120" w:type="dxa"/>
            </w:tcMar>
          </w:tcPr>
          <w:p>
            <w:pPr>
              <w:spacing w:after="0"/>
              <w:jc w:val="center"/>
            </w:pPr>
            <w:r>
              <w:rPr>
                <w:rFonts w:ascii="Calibri" w:hAnsi="Calibri"/>
                <w:b/>
                <w:color w:val="FFFFFF"/>
                <w:sz w:val="20"/>
              </w:rPr>
              <w:t>Test R²</w:t>
            </w:r>
          </w:p>
        </w:tc>
        <w:tc>
          <w:tcPr>
            <w:tcW w:type="dxa" w:w="1152"/>
            <w:shd w:val="clear" w:color="auto" w:fill="1E3A8A"/>
            <w:tcMar>
              <w:top w:w="100" w:type="dxa"/>
              <w:bottom w:w="100" w:type="dxa"/>
              <w:left w:w="120" w:type="dxa"/>
              <w:right w:w="120" w:type="dxa"/>
            </w:tcMar>
          </w:tcPr>
          <w:p>
            <w:pPr>
              <w:spacing w:after="0"/>
              <w:jc w:val="center"/>
            </w:pPr>
            <w:r>
              <w:rPr>
                <w:rFonts w:ascii="Calibri" w:hAnsi="Calibri"/>
                <w:b/>
                <w:color w:val="FFFFFF"/>
                <w:sz w:val="20"/>
              </w:rPr>
              <w:t>Test RMSE (kW)</w:t>
            </w:r>
          </w:p>
        </w:tc>
        <w:tc>
          <w:tcPr>
            <w:tcW w:type="dxa" w:w="1152"/>
            <w:shd w:val="clear" w:color="auto" w:fill="1E3A8A"/>
            <w:tcMar>
              <w:top w:w="100" w:type="dxa"/>
              <w:bottom w:w="100" w:type="dxa"/>
              <w:left w:w="120" w:type="dxa"/>
              <w:right w:w="120" w:type="dxa"/>
            </w:tcMar>
          </w:tcPr>
          <w:p>
            <w:pPr>
              <w:spacing w:after="0"/>
              <w:jc w:val="center"/>
            </w:pPr>
            <w:r>
              <w:rPr>
                <w:rFonts w:ascii="Calibri" w:hAnsi="Calibri"/>
                <w:b/>
                <w:color w:val="FFFFFF"/>
                <w:sz w:val="20"/>
              </w:rPr>
              <w:t>Test MAE (kW)</w:t>
            </w:r>
          </w:p>
        </w:tc>
        <w:tc>
          <w:tcPr>
            <w:tcW w:type="dxa" w:w="1152"/>
            <w:shd w:val="clear" w:color="auto" w:fill="1E3A8A"/>
            <w:tcMar>
              <w:top w:w="100" w:type="dxa"/>
              <w:bottom w:w="100" w:type="dxa"/>
              <w:left w:w="120" w:type="dxa"/>
              <w:right w:w="120" w:type="dxa"/>
            </w:tcMar>
          </w:tcPr>
          <w:p>
            <w:pPr>
              <w:spacing w:after="0"/>
              <w:jc w:val="center"/>
            </w:pPr>
            <w:r>
              <w:rPr>
                <w:rFonts w:ascii="Calibri" w:hAnsi="Calibri"/>
                <w:b/>
                <w:color w:val="FFFFFF"/>
                <w:sz w:val="20"/>
              </w:rPr>
              <w:t>Test MAPE (%)</w:t>
            </w:r>
          </w:p>
        </w:tc>
        <w:tc>
          <w:tcPr>
            <w:tcW w:type="dxa" w:w="1152"/>
            <w:shd w:val="clear" w:color="auto" w:fill="1E3A8A"/>
            <w:tcMar>
              <w:top w:w="100" w:type="dxa"/>
              <w:bottom w:w="100" w:type="dxa"/>
              <w:left w:w="120" w:type="dxa"/>
              <w:right w:w="120" w:type="dxa"/>
            </w:tcMar>
          </w:tcPr>
          <w:p>
            <w:pPr>
              <w:spacing w:after="0"/>
              <w:jc w:val="center"/>
            </w:pPr>
            <w:r>
              <w:rPr>
                <w:rFonts w:ascii="Calibri" w:hAnsi="Calibri"/>
                <w:b/>
                <w:color w:val="FFFFFF"/>
                <w:sz w:val="20"/>
              </w:rPr>
              <w:t>Max Error (kW)</w:t>
            </w:r>
          </w:p>
        </w:tc>
        <w:tc>
          <w:tcPr>
            <w:tcW w:type="dxa" w:w="1152"/>
            <w:shd w:val="clear" w:color="auto" w:fill="1E3A8A"/>
            <w:tcMar>
              <w:top w:w="100" w:type="dxa"/>
              <w:bottom w:w="100" w:type="dxa"/>
              <w:left w:w="120" w:type="dxa"/>
              <w:right w:w="120" w:type="dxa"/>
            </w:tcMar>
          </w:tcPr>
          <w:p>
            <w:pPr>
              <w:spacing w:after="0"/>
              <w:jc w:val="center"/>
            </w:pPr>
            <w:r>
              <w:rPr>
                <w:rFonts w:ascii="Calibri" w:hAnsi="Calibri"/>
                <w:b/>
                <w:color w:val="FFFFFF"/>
                <w:sz w:val="20"/>
              </w:rPr>
              <w:t>Latency (ms/1k)</w:t>
            </w:r>
          </w:p>
        </w:tc>
      </w:tr>
      <w:tr>
        <w:tc>
          <w:tcPr>
            <w:tcW w:type="dxa" w:w="1296"/>
            <w:shd w:val="clear" w:color="auto" w:fill="FFFFFF"/>
            <w:tcMar>
              <w:top w:w="80" w:type="dxa"/>
              <w:bottom w:w="80" w:type="dxa"/>
              <w:left w:w="120" w:type="dxa"/>
              <w:right w:w="120" w:type="dxa"/>
            </w:tcMar>
          </w:tcPr>
          <w:p>
            <w:pPr>
              <w:spacing w:after="0"/>
              <w:jc w:val="left"/>
            </w:pPr>
            <w:r>
              <w:rPr>
                <w:rFonts w:ascii="Calibri" w:hAnsi="Calibri"/>
                <w:color w:val="1F2937"/>
                <w:sz w:val="19"/>
              </w:rPr>
              <w:t>1 (Champion)</w:t>
            </w:r>
          </w:p>
        </w:tc>
        <w:tc>
          <w:tcPr>
            <w:tcW w:type="dxa" w:w="2304"/>
            <w:shd w:val="clear" w:color="auto" w:fill="FFFFFF"/>
            <w:tcMar>
              <w:top w:w="80" w:type="dxa"/>
              <w:bottom w:w="80" w:type="dxa"/>
              <w:left w:w="120" w:type="dxa"/>
              <w:right w:w="120" w:type="dxa"/>
            </w:tcMar>
          </w:tcPr>
          <w:p>
            <w:pPr>
              <w:spacing w:after="0"/>
              <w:jc w:val="center"/>
            </w:pPr>
            <w:r>
              <w:rPr>
                <w:rFonts w:ascii="Calibri" w:hAnsi="Calibri"/>
                <w:color w:val="1F2937"/>
                <w:sz w:val="19"/>
              </w:rPr>
              <w:t>Random Forest Regressor</w:t>
            </w:r>
          </w:p>
        </w:tc>
        <w:tc>
          <w:tcPr>
            <w:tcW w:type="dxa" w:w="1008"/>
            <w:shd w:val="clear" w:color="auto" w:fill="FFFFFF"/>
            <w:tcMar>
              <w:top w:w="80" w:type="dxa"/>
              <w:bottom w:w="80" w:type="dxa"/>
              <w:left w:w="120" w:type="dxa"/>
              <w:right w:w="120" w:type="dxa"/>
            </w:tcMar>
          </w:tcPr>
          <w:p>
            <w:pPr>
              <w:spacing w:after="0"/>
              <w:jc w:val="center"/>
            </w:pPr>
            <w:r>
              <w:rPr>
                <w:rFonts w:ascii="Calibri" w:hAnsi="Calibri"/>
                <w:color w:val="1F2937"/>
                <w:sz w:val="19"/>
              </w:rPr>
              <w:t>0.9498</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0.9059 kW</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0.6107 kW</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8.85%</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7.188 kW</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16.17 ms</w:t>
            </w:r>
          </w:p>
        </w:tc>
      </w:tr>
      <w:tr>
        <w:tc>
          <w:tcPr>
            <w:tcW w:type="dxa" w:w="1296"/>
            <w:shd w:val="clear" w:color="auto" w:fill="F8FAFC"/>
            <w:tcMar>
              <w:top w:w="80" w:type="dxa"/>
              <w:bottom w:w="80" w:type="dxa"/>
              <w:left w:w="120" w:type="dxa"/>
              <w:right w:w="120" w:type="dxa"/>
            </w:tcMar>
          </w:tcPr>
          <w:p>
            <w:pPr>
              <w:spacing w:after="0"/>
              <w:jc w:val="left"/>
            </w:pPr>
            <w:r>
              <w:rPr>
                <w:rFonts w:ascii="Calibri" w:hAnsi="Calibri"/>
                <w:color w:val="1F2937"/>
                <w:sz w:val="19"/>
              </w:rPr>
              <w:t>2</w:t>
            </w:r>
          </w:p>
        </w:tc>
        <w:tc>
          <w:tcPr>
            <w:tcW w:type="dxa" w:w="2304"/>
            <w:shd w:val="clear" w:color="auto" w:fill="F8FAFC"/>
            <w:tcMar>
              <w:top w:w="80" w:type="dxa"/>
              <w:bottom w:w="80" w:type="dxa"/>
              <w:left w:w="120" w:type="dxa"/>
              <w:right w:w="120" w:type="dxa"/>
            </w:tcMar>
          </w:tcPr>
          <w:p>
            <w:pPr>
              <w:spacing w:after="0"/>
              <w:jc w:val="center"/>
            </w:pPr>
            <w:r>
              <w:rPr>
                <w:rFonts w:ascii="Calibri" w:hAnsi="Calibri"/>
                <w:color w:val="1F2937"/>
                <w:sz w:val="19"/>
              </w:rPr>
              <w:t>Decision Tree Regressor</w:t>
            </w:r>
          </w:p>
        </w:tc>
        <w:tc>
          <w:tcPr>
            <w:tcW w:type="dxa" w:w="1008"/>
            <w:shd w:val="clear" w:color="auto" w:fill="F8FAFC"/>
            <w:tcMar>
              <w:top w:w="80" w:type="dxa"/>
              <w:bottom w:w="80" w:type="dxa"/>
              <w:left w:w="120" w:type="dxa"/>
              <w:right w:w="120" w:type="dxa"/>
            </w:tcMar>
          </w:tcPr>
          <w:p>
            <w:pPr>
              <w:spacing w:after="0"/>
              <w:jc w:val="center"/>
            </w:pPr>
            <w:r>
              <w:rPr>
                <w:rFonts w:ascii="Calibri" w:hAnsi="Calibri"/>
                <w:color w:val="1F2937"/>
                <w:sz w:val="19"/>
              </w:rPr>
              <w:t>0.9202</w:t>
            </w:r>
          </w:p>
        </w:tc>
        <w:tc>
          <w:tcPr>
            <w:tcW w:type="dxa" w:w="1152"/>
            <w:shd w:val="clear" w:color="auto" w:fill="F8FAFC"/>
            <w:tcMar>
              <w:top w:w="80" w:type="dxa"/>
              <w:bottom w:w="80" w:type="dxa"/>
              <w:left w:w="120" w:type="dxa"/>
              <w:right w:w="120" w:type="dxa"/>
            </w:tcMar>
          </w:tcPr>
          <w:p>
            <w:pPr>
              <w:spacing w:after="0"/>
              <w:jc w:val="center"/>
            </w:pPr>
            <w:r>
              <w:rPr>
                <w:rFonts w:ascii="Calibri" w:hAnsi="Calibri"/>
                <w:color w:val="1F2937"/>
                <w:sz w:val="19"/>
              </w:rPr>
              <w:t>1.1420 kW</w:t>
            </w:r>
          </w:p>
        </w:tc>
        <w:tc>
          <w:tcPr>
            <w:tcW w:type="dxa" w:w="1152"/>
            <w:shd w:val="clear" w:color="auto" w:fill="F8FAFC"/>
            <w:tcMar>
              <w:top w:w="80" w:type="dxa"/>
              <w:bottom w:w="80" w:type="dxa"/>
              <w:left w:w="120" w:type="dxa"/>
              <w:right w:w="120" w:type="dxa"/>
            </w:tcMar>
          </w:tcPr>
          <w:p>
            <w:pPr>
              <w:spacing w:after="0"/>
              <w:jc w:val="center"/>
            </w:pPr>
            <w:r>
              <w:rPr>
                <w:rFonts w:ascii="Calibri" w:hAnsi="Calibri"/>
                <w:color w:val="1F2937"/>
                <w:sz w:val="19"/>
              </w:rPr>
              <w:t>0.7660 kW</w:t>
            </w:r>
          </w:p>
        </w:tc>
        <w:tc>
          <w:tcPr>
            <w:tcW w:type="dxa" w:w="1152"/>
            <w:shd w:val="clear" w:color="auto" w:fill="F8FAFC"/>
            <w:tcMar>
              <w:top w:w="80" w:type="dxa"/>
              <w:bottom w:w="80" w:type="dxa"/>
              <w:left w:w="120" w:type="dxa"/>
              <w:right w:w="120" w:type="dxa"/>
            </w:tcMar>
          </w:tcPr>
          <w:p>
            <w:pPr>
              <w:spacing w:after="0"/>
              <w:jc w:val="center"/>
            </w:pPr>
            <w:r>
              <w:rPr>
                <w:rFonts w:ascii="Calibri" w:hAnsi="Calibri"/>
                <w:color w:val="1F2937"/>
                <w:sz w:val="19"/>
              </w:rPr>
              <w:t>10.88%</w:t>
            </w:r>
          </w:p>
        </w:tc>
        <w:tc>
          <w:tcPr>
            <w:tcW w:type="dxa" w:w="1152"/>
            <w:shd w:val="clear" w:color="auto" w:fill="F8FAFC"/>
            <w:tcMar>
              <w:top w:w="80" w:type="dxa"/>
              <w:bottom w:w="80" w:type="dxa"/>
              <w:left w:w="120" w:type="dxa"/>
              <w:right w:w="120" w:type="dxa"/>
            </w:tcMar>
          </w:tcPr>
          <w:p>
            <w:pPr>
              <w:spacing w:after="0"/>
              <w:jc w:val="center"/>
            </w:pPr>
            <w:r>
              <w:rPr>
                <w:rFonts w:ascii="Calibri" w:hAnsi="Calibri"/>
                <w:color w:val="1F2937"/>
                <w:sz w:val="19"/>
              </w:rPr>
              <w:t>13.749 kW</w:t>
            </w:r>
          </w:p>
        </w:tc>
        <w:tc>
          <w:tcPr>
            <w:tcW w:type="dxa" w:w="1152"/>
            <w:shd w:val="clear" w:color="auto" w:fill="F8FAFC"/>
            <w:tcMar>
              <w:top w:w="80" w:type="dxa"/>
              <w:bottom w:w="80" w:type="dxa"/>
              <w:left w:w="120" w:type="dxa"/>
              <w:right w:w="120" w:type="dxa"/>
            </w:tcMar>
          </w:tcPr>
          <w:p>
            <w:pPr>
              <w:spacing w:after="0"/>
              <w:jc w:val="center"/>
            </w:pPr>
            <w:r>
              <w:rPr>
                <w:rFonts w:ascii="Calibri" w:hAnsi="Calibri"/>
                <w:color w:val="1F2937"/>
                <w:sz w:val="19"/>
              </w:rPr>
              <w:t>0.89 ms</w:t>
            </w:r>
          </w:p>
        </w:tc>
      </w:tr>
      <w:tr>
        <w:tc>
          <w:tcPr>
            <w:tcW w:type="dxa" w:w="1296"/>
            <w:shd w:val="clear" w:color="auto" w:fill="FFFFFF"/>
            <w:tcMar>
              <w:top w:w="80" w:type="dxa"/>
              <w:bottom w:w="80" w:type="dxa"/>
              <w:left w:w="120" w:type="dxa"/>
              <w:right w:w="120" w:type="dxa"/>
            </w:tcMar>
          </w:tcPr>
          <w:p>
            <w:pPr>
              <w:spacing w:after="0"/>
              <w:jc w:val="left"/>
            </w:pPr>
            <w:r>
              <w:rPr>
                <w:rFonts w:ascii="Calibri" w:hAnsi="Calibri"/>
                <w:color w:val="1F2937"/>
                <w:sz w:val="19"/>
              </w:rPr>
              <w:t>3</w:t>
            </w:r>
          </w:p>
        </w:tc>
        <w:tc>
          <w:tcPr>
            <w:tcW w:type="dxa" w:w="2304"/>
            <w:shd w:val="clear" w:color="auto" w:fill="FFFFFF"/>
            <w:tcMar>
              <w:top w:w="80" w:type="dxa"/>
              <w:bottom w:w="80" w:type="dxa"/>
              <w:left w:w="120" w:type="dxa"/>
              <w:right w:w="120" w:type="dxa"/>
            </w:tcMar>
          </w:tcPr>
          <w:p>
            <w:pPr>
              <w:spacing w:after="0"/>
              <w:jc w:val="center"/>
            </w:pPr>
            <w:r>
              <w:rPr>
                <w:rFonts w:ascii="Calibri" w:hAnsi="Calibri"/>
                <w:color w:val="1F2937"/>
                <w:sz w:val="19"/>
              </w:rPr>
              <w:t>Linear Regression</w:t>
            </w:r>
          </w:p>
        </w:tc>
        <w:tc>
          <w:tcPr>
            <w:tcW w:type="dxa" w:w="1008"/>
            <w:shd w:val="clear" w:color="auto" w:fill="FFFFFF"/>
            <w:tcMar>
              <w:top w:w="80" w:type="dxa"/>
              <w:bottom w:w="80" w:type="dxa"/>
              <w:left w:w="120" w:type="dxa"/>
              <w:right w:w="120" w:type="dxa"/>
            </w:tcMar>
          </w:tcPr>
          <w:p>
            <w:pPr>
              <w:spacing w:after="0"/>
              <w:jc w:val="center"/>
            </w:pPr>
            <w:r>
              <w:rPr>
                <w:rFonts w:ascii="Calibri" w:hAnsi="Calibri"/>
                <w:color w:val="1F2937"/>
                <w:sz w:val="19"/>
              </w:rPr>
              <w:t>0.8584</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1.5210 kW</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1.0613 kW</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16.72%</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12.215 kW</w:t>
            </w:r>
          </w:p>
        </w:tc>
        <w:tc>
          <w:tcPr>
            <w:tcW w:type="dxa" w:w="1152"/>
            <w:shd w:val="clear" w:color="auto" w:fill="FFFFFF"/>
            <w:tcMar>
              <w:top w:w="80" w:type="dxa"/>
              <w:bottom w:w="80" w:type="dxa"/>
              <w:left w:w="120" w:type="dxa"/>
              <w:right w:w="120" w:type="dxa"/>
            </w:tcMar>
          </w:tcPr>
          <w:p>
            <w:pPr>
              <w:spacing w:after="0"/>
              <w:jc w:val="center"/>
            </w:pPr>
            <w:r>
              <w:rPr>
                <w:rFonts w:ascii="Calibri" w:hAnsi="Calibri"/>
                <w:color w:val="1F2937"/>
                <w:sz w:val="19"/>
              </w:rPr>
              <w:t>9.73 ms</w:t>
            </w:r>
          </w:p>
        </w:tc>
      </w:tr>
    </w:tbl>
    <w:p/>
    <w:p>
      <w:pPr>
        <w:keepNext/>
        <w:spacing w:before="360" w:after="120"/>
      </w:pPr>
      <w:r>
        <w:rPr>
          <w:rFonts w:ascii="Calibri" w:hAnsi="Calibri"/>
          <w:b/>
          <w:color w:val="1E3A8A"/>
          <w:sz w:val="32"/>
        </w:rPr>
        <w:t>11. Validation &amp; 5-Fold Cross-Validation</w:t>
      </w:r>
    </w:p>
    <w:p>
      <w:pPr>
        <w:spacing w:after="120" w:line="276" w:lineRule="auto"/>
      </w:pPr>
      <w:r>
        <w:rPr>
          <w:rFonts w:ascii="Calibri" w:hAnsi="Calibri"/>
          <w:color w:val="2D3748"/>
          <w:sz w:val="22"/>
        </w:rPr>
        <w:t>To assess statistical stability and verify that model accuracy is not an artifact of a fortunate train/test partition, stratified 5-fold cross-validation was conducted across the 10,000 training observations. In each fold, 8,000 samples were used for training and 2,000 for validation: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E3A8A"/>
            <w:tcMar>
              <w:top w:w="100" w:type="dxa"/>
              <w:bottom w:w="100" w:type="dxa"/>
              <w:left w:w="120" w:type="dxa"/>
              <w:right w:w="120" w:type="dxa"/>
            </w:tcMar>
          </w:tcPr>
          <w:p>
            <w:pPr>
              <w:spacing w:after="0"/>
              <w:jc w:val="center"/>
            </w:pPr>
            <w:r>
              <w:rPr>
                <w:rFonts w:ascii="Calibri" w:hAnsi="Calibri"/>
                <w:b/>
                <w:color w:val="FFFFFF"/>
                <w:sz w:val="20"/>
              </w:rPr>
              <w:t>Algorithm</w:t>
            </w:r>
          </w:p>
        </w:tc>
        <w:tc>
          <w:tcPr>
            <w:tcW w:type="dxa" w:w="1584"/>
            <w:shd w:val="clear" w:color="auto" w:fill="1E3A8A"/>
            <w:tcMar>
              <w:top w:w="100" w:type="dxa"/>
              <w:bottom w:w="100" w:type="dxa"/>
              <w:left w:w="120" w:type="dxa"/>
              <w:right w:w="120" w:type="dxa"/>
            </w:tcMar>
          </w:tcPr>
          <w:p>
            <w:pPr>
              <w:spacing w:after="0"/>
              <w:jc w:val="center"/>
            </w:pPr>
            <w:r>
              <w:rPr>
                <w:rFonts w:ascii="Calibri" w:hAnsi="Calibri"/>
                <w:b/>
                <w:color w:val="FFFFFF"/>
                <w:sz w:val="20"/>
              </w:rPr>
              <w:t>5-Fold CV Mean R²</w:t>
            </w:r>
          </w:p>
        </w:tc>
        <w:tc>
          <w:tcPr>
            <w:tcW w:type="dxa" w:w="1584"/>
            <w:shd w:val="clear" w:color="auto" w:fill="1E3A8A"/>
            <w:tcMar>
              <w:top w:w="100" w:type="dxa"/>
              <w:bottom w:w="100" w:type="dxa"/>
              <w:left w:w="120" w:type="dxa"/>
              <w:right w:w="120" w:type="dxa"/>
            </w:tcMar>
          </w:tcPr>
          <w:p>
            <w:pPr>
              <w:spacing w:after="0"/>
              <w:jc w:val="center"/>
            </w:pPr>
            <w:r>
              <w:rPr>
                <w:rFonts w:ascii="Calibri" w:hAnsi="Calibri"/>
                <w:b/>
                <w:color w:val="FFFFFF"/>
                <w:sz w:val="20"/>
              </w:rPr>
              <w:t>Standard Deviation (±)</w:t>
            </w:r>
          </w:p>
        </w:tc>
        <w:tc>
          <w:tcPr>
            <w:tcW w:type="dxa" w:w="2592"/>
            <w:shd w:val="clear" w:color="auto" w:fill="1E3A8A"/>
            <w:tcMar>
              <w:top w:w="100" w:type="dxa"/>
              <w:bottom w:w="100" w:type="dxa"/>
              <w:left w:w="120" w:type="dxa"/>
              <w:right w:w="120" w:type="dxa"/>
            </w:tcMar>
          </w:tcPr>
          <w:p>
            <w:pPr>
              <w:spacing w:after="0"/>
              <w:jc w:val="center"/>
            </w:pPr>
            <w:r>
              <w:rPr>
                <w:rFonts w:ascii="Calibri" w:hAnsi="Calibri"/>
                <w:b/>
                <w:color w:val="FFFFFF"/>
                <w:sz w:val="20"/>
              </w:rPr>
              <w:t>Fold Stability Assessment</w:t>
            </w:r>
          </w:p>
        </w:tc>
        <w:tc>
          <w:tcPr>
            <w:tcW w:type="dxa" w:w="1584"/>
            <w:shd w:val="clear" w:color="auto" w:fill="1E3A8A"/>
            <w:tcMar>
              <w:top w:w="100" w:type="dxa"/>
              <w:bottom w:w="100" w:type="dxa"/>
              <w:left w:w="120" w:type="dxa"/>
              <w:right w:w="120" w:type="dxa"/>
            </w:tcMar>
          </w:tcPr>
          <w:p>
            <w:pPr>
              <w:spacing w:after="0"/>
              <w:jc w:val="center"/>
            </w:pPr>
            <w:r>
              <w:rPr>
                <w:rFonts w:ascii="Calibri" w:hAnsi="Calibri"/>
                <w:b/>
                <w:color w:val="FFFFFF"/>
                <w:sz w:val="20"/>
              </w:rPr>
              <w:t>Generalization Risk</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Random Forest Regressor</w:t>
            </w:r>
          </w:p>
        </w:tc>
        <w:tc>
          <w:tcPr>
            <w:tcW w:type="dxa" w:w="1584"/>
            <w:shd w:val="clear" w:color="auto" w:fill="FFFFFF"/>
            <w:tcMar>
              <w:top w:w="80" w:type="dxa"/>
              <w:bottom w:w="80" w:type="dxa"/>
              <w:left w:w="120" w:type="dxa"/>
              <w:right w:w="120" w:type="dxa"/>
            </w:tcMar>
          </w:tcPr>
          <w:p>
            <w:pPr>
              <w:spacing w:after="0"/>
              <w:jc w:val="center"/>
            </w:pPr>
            <w:r>
              <w:rPr>
                <w:rFonts w:ascii="Calibri" w:hAnsi="Calibri"/>
                <w:color w:val="1F2937"/>
                <w:sz w:val="19"/>
              </w:rPr>
              <w:t>0.9472</w:t>
            </w:r>
          </w:p>
        </w:tc>
        <w:tc>
          <w:tcPr>
            <w:tcW w:type="dxa" w:w="1584"/>
            <w:shd w:val="clear" w:color="auto" w:fill="FFFFFF"/>
            <w:tcMar>
              <w:top w:w="80" w:type="dxa"/>
              <w:bottom w:w="80" w:type="dxa"/>
              <w:left w:w="120" w:type="dxa"/>
              <w:right w:w="120" w:type="dxa"/>
            </w:tcMar>
          </w:tcPr>
          <w:p>
            <w:pPr>
              <w:spacing w:after="0"/>
              <w:jc w:val="center"/>
            </w:pPr>
            <w:r>
              <w:rPr>
                <w:rFonts w:ascii="Calibri" w:hAnsi="Calibri"/>
                <w:color w:val="1F2937"/>
                <w:sz w:val="19"/>
              </w:rPr>
              <w:t>±0.0031</w:t>
            </w:r>
          </w:p>
        </w:tc>
        <w:tc>
          <w:tcPr>
            <w:tcW w:type="dxa" w:w="2592"/>
            <w:shd w:val="clear" w:color="auto" w:fill="FFFFFF"/>
            <w:tcMar>
              <w:top w:w="80" w:type="dxa"/>
              <w:bottom w:w="80" w:type="dxa"/>
              <w:left w:w="120" w:type="dxa"/>
              <w:right w:w="120" w:type="dxa"/>
            </w:tcMar>
          </w:tcPr>
          <w:p>
            <w:pPr>
              <w:spacing w:after="0"/>
              <w:jc w:val="center"/>
            </w:pPr>
            <w:r>
              <w:rPr>
                <w:rFonts w:ascii="Calibri" w:hAnsi="Calibri"/>
                <w:color w:val="1F2937"/>
                <w:sz w:val="19"/>
              </w:rPr>
              <w:t>Exceptional (Minimal Variance Across Folds)</w:t>
            </w:r>
          </w:p>
        </w:tc>
        <w:tc>
          <w:tcPr>
            <w:tcW w:type="dxa" w:w="1584"/>
            <w:shd w:val="clear" w:color="auto" w:fill="FFFFFF"/>
            <w:tcMar>
              <w:top w:w="80" w:type="dxa"/>
              <w:bottom w:w="80" w:type="dxa"/>
              <w:left w:w="120" w:type="dxa"/>
              <w:right w:w="120" w:type="dxa"/>
            </w:tcMar>
          </w:tcPr>
          <w:p>
            <w:pPr>
              <w:spacing w:after="0"/>
              <w:jc w:val="center"/>
            </w:pPr>
            <w:r>
              <w:rPr>
                <w:rFonts w:ascii="Calibri" w:hAnsi="Calibri"/>
                <w:color w:val="1F2937"/>
                <w:sz w:val="19"/>
              </w:rPr>
              <w:t>Very Low Risk</w:t>
            </w:r>
          </w:p>
        </w:tc>
      </w:tr>
      <w:tr>
        <w:tc>
          <w:tcPr>
            <w:tcW w:type="dxa" w:w="2160"/>
            <w:shd w:val="clear" w:color="auto" w:fill="F8FAFC"/>
            <w:tcMar>
              <w:top w:w="80" w:type="dxa"/>
              <w:bottom w:w="80" w:type="dxa"/>
              <w:left w:w="120" w:type="dxa"/>
              <w:right w:w="120" w:type="dxa"/>
            </w:tcMar>
          </w:tcPr>
          <w:p>
            <w:pPr>
              <w:spacing w:after="0"/>
              <w:jc w:val="left"/>
            </w:pPr>
            <w:r>
              <w:rPr>
                <w:rFonts w:ascii="Calibri" w:hAnsi="Calibri"/>
                <w:color w:val="1F2937"/>
                <w:sz w:val="19"/>
              </w:rPr>
              <w:t>Decision Tree Regressor</w:t>
            </w:r>
          </w:p>
        </w:tc>
        <w:tc>
          <w:tcPr>
            <w:tcW w:type="dxa" w:w="1584"/>
            <w:shd w:val="clear" w:color="auto" w:fill="F8FAFC"/>
            <w:tcMar>
              <w:top w:w="80" w:type="dxa"/>
              <w:bottom w:w="80" w:type="dxa"/>
              <w:left w:w="120" w:type="dxa"/>
              <w:right w:w="120" w:type="dxa"/>
            </w:tcMar>
          </w:tcPr>
          <w:p>
            <w:pPr>
              <w:spacing w:after="0"/>
              <w:jc w:val="center"/>
            </w:pPr>
            <w:r>
              <w:rPr>
                <w:rFonts w:ascii="Calibri" w:hAnsi="Calibri"/>
                <w:color w:val="1F2937"/>
                <w:sz w:val="19"/>
              </w:rPr>
              <w:t>0.9086</w:t>
            </w:r>
          </w:p>
        </w:tc>
        <w:tc>
          <w:tcPr>
            <w:tcW w:type="dxa" w:w="1584"/>
            <w:shd w:val="clear" w:color="auto" w:fill="F8FAFC"/>
            <w:tcMar>
              <w:top w:w="80" w:type="dxa"/>
              <w:bottom w:w="80" w:type="dxa"/>
              <w:left w:w="120" w:type="dxa"/>
              <w:right w:w="120" w:type="dxa"/>
            </w:tcMar>
          </w:tcPr>
          <w:p>
            <w:pPr>
              <w:spacing w:after="0"/>
              <w:jc w:val="center"/>
            </w:pPr>
            <w:r>
              <w:rPr>
                <w:rFonts w:ascii="Calibri" w:hAnsi="Calibri"/>
                <w:color w:val="1F2937"/>
                <w:sz w:val="19"/>
              </w:rPr>
              <w:t>±0.0065</w:t>
            </w:r>
          </w:p>
        </w:tc>
        <w:tc>
          <w:tcPr>
            <w:tcW w:type="dxa" w:w="2592"/>
            <w:shd w:val="clear" w:color="auto" w:fill="F8FAFC"/>
            <w:tcMar>
              <w:top w:w="80" w:type="dxa"/>
              <w:bottom w:w="80" w:type="dxa"/>
              <w:left w:w="120" w:type="dxa"/>
              <w:right w:w="120" w:type="dxa"/>
            </w:tcMar>
          </w:tcPr>
          <w:p>
            <w:pPr>
              <w:spacing w:after="0"/>
              <w:jc w:val="center"/>
            </w:pPr>
            <w:r>
              <w:rPr>
                <w:rFonts w:ascii="Calibri" w:hAnsi="Calibri"/>
                <w:color w:val="1F2937"/>
                <w:sz w:val="19"/>
              </w:rPr>
              <w:t>High (Slight Sensitivity to Fold Boundaries)</w:t>
            </w:r>
          </w:p>
        </w:tc>
        <w:tc>
          <w:tcPr>
            <w:tcW w:type="dxa" w:w="1584"/>
            <w:shd w:val="clear" w:color="auto" w:fill="F8FAFC"/>
            <w:tcMar>
              <w:top w:w="80" w:type="dxa"/>
              <w:bottom w:w="80" w:type="dxa"/>
              <w:left w:w="120" w:type="dxa"/>
              <w:right w:w="120" w:type="dxa"/>
            </w:tcMar>
          </w:tcPr>
          <w:p>
            <w:pPr>
              <w:spacing w:after="0"/>
              <w:jc w:val="center"/>
            </w:pPr>
            <w:r>
              <w:rPr>
                <w:rFonts w:ascii="Calibri" w:hAnsi="Calibri"/>
                <w:color w:val="1F2937"/>
                <w:sz w:val="19"/>
              </w:rPr>
              <w:t>Low Risk (Pruned)</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Linear Regression</w:t>
            </w:r>
          </w:p>
        </w:tc>
        <w:tc>
          <w:tcPr>
            <w:tcW w:type="dxa" w:w="1584"/>
            <w:shd w:val="clear" w:color="auto" w:fill="FFFFFF"/>
            <w:tcMar>
              <w:top w:w="80" w:type="dxa"/>
              <w:bottom w:w="80" w:type="dxa"/>
              <w:left w:w="120" w:type="dxa"/>
              <w:right w:w="120" w:type="dxa"/>
            </w:tcMar>
          </w:tcPr>
          <w:p>
            <w:pPr>
              <w:spacing w:after="0"/>
              <w:jc w:val="center"/>
            </w:pPr>
            <w:r>
              <w:rPr>
                <w:rFonts w:ascii="Calibri" w:hAnsi="Calibri"/>
                <w:color w:val="1F2937"/>
                <w:sz w:val="19"/>
              </w:rPr>
              <w:t>0.8634</w:t>
            </w:r>
          </w:p>
        </w:tc>
        <w:tc>
          <w:tcPr>
            <w:tcW w:type="dxa" w:w="1584"/>
            <w:shd w:val="clear" w:color="auto" w:fill="FFFFFF"/>
            <w:tcMar>
              <w:top w:w="80" w:type="dxa"/>
              <w:bottom w:w="80" w:type="dxa"/>
              <w:left w:w="120" w:type="dxa"/>
              <w:right w:w="120" w:type="dxa"/>
            </w:tcMar>
          </w:tcPr>
          <w:p>
            <w:pPr>
              <w:spacing w:after="0"/>
              <w:jc w:val="center"/>
            </w:pPr>
            <w:r>
              <w:rPr>
                <w:rFonts w:ascii="Calibri" w:hAnsi="Calibri"/>
                <w:color w:val="1F2937"/>
                <w:sz w:val="19"/>
              </w:rPr>
              <w:t>±0.0088</w:t>
            </w:r>
          </w:p>
        </w:tc>
        <w:tc>
          <w:tcPr>
            <w:tcW w:type="dxa" w:w="2592"/>
            <w:shd w:val="clear" w:color="auto" w:fill="FFFFFF"/>
            <w:tcMar>
              <w:top w:w="80" w:type="dxa"/>
              <w:bottom w:w="80" w:type="dxa"/>
              <w:left w:w="120" w:type="dxa"/>
              <w:right w:w="120" w:type="dxa"/>
            </w:tcMar>
          </w:tcPr>
          <w:p>
            <w:pPr>
              <w:spacing w:after="0"/>
              <w:jc w:val="center"/>
            </w:pPr>
            <w:r>
              <w:rPr>
                <w:rFonts w:ascii="Calibri" w:hAnsi="Calibri"/>
                <w:color w:val="1F2937"/>
                <w:sz w:val="19"/>
              </w:rPr>
              <w:t>Moderate (Consistent Underfitting Across Folds)</w:t>
            </w:r>
          </w:p>
        </w:tc>
        <w:tc>
          <w:tcPr>
            <w:tcW w:type="dxa" w:w="1584"/>
            <w:shd w:val="clear" w:color="auto" w:fill="FFFFFF"/>
            <w:tcMar>
              <w:top w:w="80" w:type="dxa"/>
              <w:bottom w:w="80" w:type="dxa"/>
              <w:left w:w="120" w:type="dxa"/>
              <w:right w:w="120" w:type="dxa"/>
            </w:tcMar>
          </w:tcPr>
          <w:p>
            <w:pPr>
              <w:spacing w:after="0"/>
              <w:jc w:val="center"/>
            </w:pPr>
            <w:r>
              <w:rPr>
                <w:rFonts w:ascii="Calibri" w:hAnsi="Calibri"/>
                <w:color w:val="1F2937"/>
                <w:sz w:val="19"/>
              </w:rPr>
              <w:t>High Structural Bias</w:t>
            </w:r>
          </w:p>
        </w:tc>
      </w:tr>
    </w:tbl>
    <w:p/>
    <w:p>
      <w:pPr>
        <w:spacing w:after="120" w:line="276" w:lineRule="auto"/>
      </w:pPr>
      <w:r>
        <w:rPr>
          <w:rFonts w:ascii="Calibri" w:hAnsi="Calibri"/>
          <w:color w:val="2D3748"/>
          <w:sz w:val="22"/>
        </w:rPr>
        <w:t>The standard deviation of only ±0.0031 for Random Forest confirms robust consistency across diverse alloy types, cutting geometries, and wear states. Linear Regression improved from R² = 0.8391 to 0.8584 with the addition of tool wear and cutting temperature interaction features, confirming that explicit physics interactions help linear estimators capture parasitic clearance contact losses.</w:t>
      </w:r>
    </w:p>
    <w:p>
      <w:pPr>
        <w:keepNext/>
        <w:spacing w:before="360" w:after="120"/>
      </w:pPr>
      <w:r>
        <w:rPr>
          <w:rFonts w:ascii="Calibri" w:hAnsi="Calibri"/>
          <w:b/>
          <w:color w:val="1E3A8A"/>
          <w:sz w:val="32"/>
        </w:rPr>
        <w:t>12. Hyperparameter Optimization (Grid Search)</w:t>
      </w:r>
    </w:p>
    <w:p>
      <w:pPr>
        <w:spacing w:after="120" w:line="276" w:lineRule="auto"/>
      </w:pPr>
      <w:r>
        <w:rPr>
          <w:rFonts w:ascii="Calibri" w:hAnsi="Calibri"/>
          <w:color w:val="2D3748"/>
          <w:sz w:val="22"/>
        </w:rPr>
        <w:t>An unconstrained decision tree will grow leaves until every training sample is isolated in its own leaf (overfitting, R² = 1.0 on train, poor test R²). To prevent memorization of high-frequency dynamometer noise, GridSearchCV was executed in src/train.py across 36 parameter permutations:</w:t>
      </w:r>
    </w:p>
    <w:tbl>
      <w:tblPr>
        <w:tblW w:type="auto" w:w="0"/>
        <w:jc w:val="center"/>
        <w:tblLook w:firstColumn="1" w:firstRow="1" w:lastColumn="0" w:lastRow="0" w:noHBand="0" w:noVBand="1" w:val="04A0"/>
      </w:tblPr>
      <w:tblGrid>
        <w:gridCol w:w="2340"/>
        <w:gridCol w:w="2340"/>
        <w:gridCol w:w="2340"/>
        <w:gridCol w:w="2340"/>
      </w:tblGrid>
      <w:tr>
        <w:tc>
          <w:tcPr>
            <w:tcW w:type="dxa" w:w="1872"/>
            <w:shd w:val="clear" w:color="auto" w:fill="1E3A8A"/>
            <w:tcMar>
              <w:top w:w="100" w:type="dxa"/>
              <w:bottom w:w="100" w:type="dxa"/>
              <w:left w:w="120" w:type="dxa"/>
              <w:right w:w="120" w:type="dxa"/>
            </w:tcMar>
          </w:tcPr>
          <w:p>
            <w:pPr>
              <w:spacing w:after="0"/>
              <w:jc w:val="center"/>
            </w:pPr>
            <w:r>
              <w:rPr>
                <w:rFonts w:ascii="Calibri" w:hAnsi="Calibri"/>
                <w:b/>
                <w:color w:val="FFFFFF"/>
                <w:sz w:val="20"/>
              </w:rPr>
              <w:t>Hyperparameter</w:t>
            </w:r>
          </w:p>
        </w:tc>
        <w:tc>
          <w:tcPr>
            <w:tcW w:type="dxa" w:w="1728"/>
            <w:shd w:val="clear" w:color="auto" w:fill="1E3A8A"/>
            <w:tcMar>
              <w:top w:w="100" w:type="dxa"/>
              <w:bottom w:w="100" w:type="dxa"/>
              <w:left w:w="120" w:type="dxa"/>
              <w:right w:w="120" w:type="dxa"/>
            </w:tcMar>
          </w:tcPr>
          <w:p>
            <w:pPr>
              <w:spacing w:after="0"/>
              <w:jc w:val="center"/>
            </w:pPr>
            <w:r>
              <w:rPr>
                <w:rFonts w:ascii="Calibri" w:hAnsi="Calibri"/>
                <w:b/>
                <w:color w:val="FFFFFF"/>
                <w:sz w:val="20"/>
              </w:rPr>
              <w:t>Search Candidates</w:t>
            </w:r>
          </w:p>
        </w:tc>
        <w:tc>
          <w:tcPr>
            <w:tcW w:type="dxa" w:w="1728"/>
            <w:shd w:val="clear" w:color="auto" w:fill="1E3A8A"/>
            <w:tcMar>
              <w:top w:w="100" w:type="dxa"/>
              <w:bottom w:w="100" w:type="dxa"/>
              <w:left w:w="120" w:type="dxa"/>
              <w:right w:w="120" w:type="dxa"/>
            </w:tcMar>
          </w:tcPr>
          <w:p>
            <w:pPr>
              <w:spacing w:after="0"/>
              <w:jc w:val="center"/>
            </w:pPr>
            <w:r>
              <w:rPr>
                <w:rFonts w:ascii="Calibri" w:hAnsi="Calibri"/>
                <w:b/>
                <w:color w:val="FFFFFF"/>
                <w:sz w:val="20"/>
              </w:rPr>
              <w:t>Optimal Selected Value</w:t>
            </w:r>
          </w:p>
        </w:tc>
        <w:tc>
          <w:tcPr>
            <w:tcW w:type="dxa" w:w="4176"/>
            <w:shd w:val="clear" w:color="auto" w:fill="1E3A8A"/>
            <w:tcMar>
              <w:top w:w="100" w:type="dxa"/>
              <w:bottom w:w="100" w:type="dxa"/>
              <w:left w:w="120" w:type="dxa"/>
              <w:right w:w="120" w:type="dxa"/>
            </w:tcMar>
          </w:tcPr>
          <w:p>
            <w:pPr>
              <w:spacing w:after="0"/>
              <w:jc w:val="center"/>
            </w:pPr>
            <w:r>
              <w:rPr>
                <w:rFonts w:ascii="Calibri" w:hAnsi="Calibri"/>
                <w:b/>
                <w:color w:val="FFFFFF"/>
                <w:sz w:val="20"/>
              </w:rPr>
              <w:t>Physical Rationale &amp; Impact</w:t>
            </w:r>
          </w:p>
        </w:tc>
      </w:tr>
      <w:tr>
        <w:tc>
          <w:tcPr>
            <w:tcW w:type="dxa" w:w="1872"/>
            <w:shd w:val="clear" w:color="auto" w:fill="FFFFFF"/>
            <w:tcMar>
              <w:top w:w="80" w:type="dxa"/>
              <w:bottom w:w="80" w:type="dxa"/>
              <w:left w:w="120" w:type="dxa"/>
              <w:right w:w="120" w:type="dxa"/>
            </w:tcMar>
          </w:tcPr>
          <w:p>
            <w:pPr>
              <w:spacing w:after="0"/>
              <w:jc w:val="left"/>
            </w:pPr>
            <w:r>
              <w:rPr>
                <w:rFonts w:ascii="Calibri" w:hAnsi="Calibri"/>
                <w:color w:val="1F2937"/>
                <w:sz w:val="19"/>
              </w:rPr>
              <w:t>max_depth</w:t>
            </w:r>
          </w:p>
        </w:tc>
        <w:tc>
          <w:tcPr>
            <w:tcW w:type="dxa" w:w="1728"/>
            <w:shd w:val="clear" w:color="auto" w:fill="FFFFFF"/>
            <w:tcMar>
              <w:top w:w="80" w:type="dxa"/>
              <w:bottom w:w="80" w:type="dxa"/>
              <w:left w:w="120" w:type="dxa"/>
              <w:right w:w="120" w:type="dxa"/>
            </w:tcMar>
          </w:tcPr>
          <w:p>
            <w:pPr>
              <w:spacing w:after="0"/>
              <w:jc w:val="center"/>
            </w:pPr>
            <w:r>
              <w:rPr>
                <w:rFonts w:ascii="Calibri" w:hAnsi="Calibri"/>
                <w:color w:val="1F2937"/>
                <w:sz w:val="19"/>
              </w:rPr>
              <w:t>[8, 12, 16, 20]</w:t>
            </w:r>
          </w:p>
        </w:tc>
        <w:tc>
          <w:tcPr>
            <w:tcW w:type="dxa" w:w="1728"/>
            <w:shd w:val="clear" w:color="auto" w:fill="FFFFFF"/>
            <w:tcMar>
              <w:top w:w="80" w:type="dxa"/>
              <w:bottom w:w="80" w:type="dxa"/>
              <w:left w:w="120" w:type="dxa"/>
              <w:right w:w="120" w:type="dxa"/>
            </w:tcMar>
          </w:tcPr>
          <w:p>
            <w:pPr>
              <w:spacing w:after="0"/>
              <w:jc w:val="center"/>
            </w:pPr>
            <w:r>
              <w:rPr>
                <w:rFonts w:ascii="Calibri" w:hAnsi="Calibri"/>
                <w:color w:val="1F2937"/>
                <w:sz w:val="19"/>
              </w:rPr>
              <w:t>20</w:t>
            </w:r>
          </w:p>
        </w:tc>
        <w:tc>
          <w:tcPr>
            <w:tcW w:type="dxa" w:w="4176"/>
            <w:shd w:val="clear" w:color="auto" w:fill="FFFFFF"/>
            <w:tcMar>
              <w:top w:w="80" w:type="dxa"/>
              <w:bottom w:w="80" w:type="dxa"/>
              <w:left w:w="120" w:type="dxa"/>
              <w:right w:w="120" w:type="dxa"/>
            </w:tcMar>
          </w:tcPr>
          <w:p>
            <w:pPr>
              <w:spacing w:after="0"/>
              <w:jc w:val="center"/>
            </w:pPr>
            <w:r>
              <w:rPr>
                <w:rFonts w:ascii="Calibri" w:hAnsi="Calibri"/>
                <w:color w:val="1F2937"/>
                <w:sz w:val="19"/>
              </w:rPr>
              <w:t>Permits sufficient depth to resolve multi-material hardness boundaries without unbounded leaf creation.</w:t>
            </w:r>
          </w:p>
        </w:tc>
      </w:tr>
      <w:tr>
        <w:tc>
          <w:tcPr>
            <w:tcW w:type="dxa" w:w="1872"/>
            <w:shd w:val="clear" w:color="auto" w:fill="F8FAFC"/>
            <w:tcMar>
              <w:top w:w="80" w:type="dxa"/>
              <w:bottom w:w="80" w:type="dxa"/>
              <w:left w:w="120" w:type="dxa"/>
              <w:right w:w="120" w:type="dxa"/>
            </w:tcMar>
          </w:tcPr>
          <w:p>
            <w:pPr>
              <w:spacing w:after="0"/>
              <w:jc w:val="left"/>
            </w:pPr>
            <w:r>
              <w:rPr>
                <w:rFonts w:ascii="Calibri" w:hAnsi="Calibri"/>
                <w:color w:val="1F2937"/>
                <w:sz w:val="19"/>
              </w:rPr>
              <w:t>min_samples_split</w:t>
            </w:r>
          </w:p>
        </w:tc>
        <w:tc>
          <w:tcPr>
            <w:tcW w:type="dxa" w:w="1728"/>
            <w:shd w:val="clear" w:color="auto" w:fill="F8FAFC"/>
            <w:tcMar>
              <w:top w:w="80" w:type="dxa"/>
              <w:bottom w:w="80" w:type="dxa"/>
              <w:left w:w="120" w:type="dxa"/>
              <w:right w:w="120" w:type="dxa"/>
            </w:tcMar>
          </w:tcPr>
          <w:p>
            <w:pPr>
              <w:spacing w:after="0"/>
              <w:jc w:val="center"/>
            </w:pPr>
            <w:r>
              <w:rPr>
                <w:rFonts w:ascii="Calibri" w:hAnsi="Calibri"/>
                <w:color w:val="1F2937"/>
                <w:sz w:val="19"/>
              </w:rPr>
              <w:t>[2, 5, 10]</w:t>
            </w:r>
          </w:p>
        </w:tc>
        <w:tc>
          <w:tcPr>
            <w:tcW w:type="dxa" w:w="1728"/>
            <w:shd w:val="clear" w:color="auto" w:fill="F8FAFC"/>
            <w:tcMar>
              <w:top w:w="80" w:type="dxa"/>
              <w:bottom w:w="80" w:type="dxa"/>
              <w:left w:w="120" w:type="dxa"/>
              <w:right w:w="120" w:type="dxa"/>
            </w:tcMar>
          </w:tcPr>
          <w:p>
            <w:pPr>
              <w:spacing w:after="0"/>
              <w:jc w:val="center"/>
            </w:pPr>
            <w:r>
              <w:rPr>
                <w:rFonts w:ascii="Calibri" w:hAnsi="Calibri"/>
                <w:color w:val="1F2937"/>
                <w:sz w:val="19"/>
              </w:rPr>
              <w:t>10</w:t>
            </w:r>
          </w:p>
        </w:tc>
        <w:tc>
          <w:tcPr>
            <w:tcW w:type="dxa" w:w="4176"/>
            <w:shd w:val="clear" w:color="auto" w:fill="F8FAFC"/>
            <w:tcMar>
              <w:top w:w="80" w:type="dxa"/>
              <w:bottom w:w="80" w:type="dxa"/>
              <w:left w:w="120" w:type="dxa"/>
              <w:right w:w="120" w:type="dxa"/>
            </w:tcMar>
          </w:tcPr>
          <w:p>
            <w:pPr>
              <w:spacing w:after="0"/>
              <w:jc w:val="center"/>
            </w:pPr>
            <w:r>
              <w:rPr>
                <w:rFonts w:ascii="Calibri" w:hAnsi="Calibri"/>
                <w:color w:val="1F2937"/>
                <w:sz w:val="19"/>
              </w:rPr>
              <w:t>Prevents splitting on localized sensor fluctuations; requires at least 10 observations to branch.</w:t>
            </w:r>
          </w:p>
        </w:tc>
      </w:tr>
      <w:tr>
        <w:tc>
          <w:tcPr>
            <w:tcW w:type="dxa" w:w="1872"/>
            <w:shd w:val="clear" w:color="auto" w:fill="FFFFFF"/>
            <w:tcMar>
              <w:top w:w="80" w:type="dxa"/>
              <w:bottom w:w="80" w:type="dxa"/>
              <w:left w:w="120" w:type="dxa"/>
              <w:right w:w="120" w:type="dxa"/>
            </w:tcMar>
          </w:tcPr>
          <w:p>
            <w:pPr>
              <w:spacing w:after="0"/>
              <w:jc w:val="left"/>
            </w:pPr>
            <w:r>
              <w:rPr>
                <w:rFonts w:ascii="Calibri" w:hAnsi="Calibri"/>
                <w:color w:val="1F2937"/>
                <w:sz w:val="19"/>
              </w:rPr>
              <w:t>min_samples_leaf</w:t>
            </w:r>
          </w:p>
        </w:tc>
        <w:tc>
          <w:tcPr>
            <w:tcW w:type="dxa" w:w="1728"/>
            <w:shd w:val="clear" w:color="auto" w:fill="FFFFFF"/>
            <w:tcMar>
              <w:top w:w="80" w:type="dxa"/>
              <w:bottom w:w="80" w:type="dxa"/>
              <w:left w:w="120" w:type="dxa"/>
              <w:right w:w="120" w:type="dxa"/>
            </w:tcMar>
          </w:tcPr>
          <w:p>
            <w:pPr>
              <w:spacing w:after="0"/>
              <w:jc w:val="center"/>
            </w:pPr>
            <w:r>
              <w:rPr>
                <w:rFonts w:ascii="Calibri" w:hAnsi="Calibri"/>
                <w:color w:val="1F2937"/>
                <w:sz w:val="19"/>
              </w:rPr>
              <w:t>[1, 2, 4]</w:t>
            </w:r>
          </w:p>
        </w:tc>
        <w:tc>
          <w:tcPr>
            <w:tcW w:type="dxa" w:w="1728"/>
            <w:shd w:val="clear" w:color="auto" w:fill="FFFFFF"/>
            <w:tcMar>
              <w:top w:w="80" w:type="dxa"/>
              <w:bottom w:w="80" w:type="dxa"/>
              <w:left w:w="120" w:type="dxa"/>
              <w:right w:w="120" w:type="dxa"/>
            </w:tcMar>
          </w:tcPr>
          <w:p>
            <w:pPr>
              <w:spacing w:after="0"/>
              <w:jc w:val="center"/>
            </w:pPr>
            <w:r>
              <w:rPr>
                <w:rFonts w:ascii="Calibri" w:hAnsi="Calibri"/>
                <w:color w:val="1F2937"/>
                <w:sz w:val="19"/>
              </w:rPr>
              <w:t>4</w:t>
            </w:r>
          </w:p>
        </w:tc>
        <w:tc>
          <w:tcPr>
            <w:tcW w:type="dxa" w:w="4176"/>
            <w:shd w:val="clear" w:color="auto" w:fill="FFFFFF"/>
            <w:tcMar>
              <w:top w:w="80" w:type="dxa"/>
              <w:bottom w:w="80" w:type="dxa"/>
              <w:left w:w="120" w:type="dxa"/>
              <w:right w:w="120" w:type="dxa"/>
            </w:tcMar>
          </w:tcPr>
          <w:p>
            <w:pPr>
              <w:spacing w:after="0"/>
              <w:jc w:val="center"/>
            </w:pPr>
            <w:r>
              <w:rPr>
                <w:rFonts w:ascii="Calibri" w:hAnsi="Calibri"/>
                <w:color w:val="1F2937"/>
                <w:sz w:val="19"/>
              </w:rPr>
              <w:t>Ensures all terminal power predictions represent an average of at least 4 independent machining cuts.</w:t>
            </w:r>
          </w:p>
        </w:tc>
      </w:tr>
    </w:tbl>
    <w:p/>
    <w:p>
      <w:pPr>
        <w:keepNext/>
        <w:spacing w:before="360" w:after="120"/>
      </w:pPr>
      <w:r>
        <w:rPr>
          <w:rFonts w:ascii="Calibri" w:hAnsi="Calibri"/>
          <w:b/>
          <w:color w:val="1E3A8A"/>
          <w:sz w:val="32"/>
        </w:rPr>
        <w:t>13. Results and Discussion</w:t>
      </w:r>
    </w:p>
    <w:p>
      <w:pPr>
        <w:spacing w:after="120" w:line="276" w:lineRule="auto"/>
      </w:pPr>
      <w:r>
        <w:rPr>
          <w:rFonts w:ascii="Calibri" w:hAnsi="Calibri"/>
          <w:color w:val="2D3748"/>
          <w:sz w:val="22"/>
        </w:rPr>
        <w:t>A rigorous comparative analysis of the experimental results uncovers critical engineering insights regarding how different machine learning structures map physical machining phenomena:</w:t>
      </w:r>
    </w:p>
    <w:p>
      <w:pPr>
        <w:keepNext/>
        <w:spacing w:before="280" w:after="80"/>
      </w:pPr>
      <w:r>
        <w:rPr>
          <w:rFonts w:ascii="Calibri" w:hAnsi="Calibri"/>
          <w:b/>
          <w:color w:val="2563EB"/>
          <w:sz w:val="26"/>
        </w:rPr>
        <w:t>13.1 Why Random Forest Outperforms Linear Regression and Single Trees</w:t>
      </w:r>
    </w:p>
    <w:p>
      <w:pPr>
        <w:spacing w:after="120" w:line="276" w:lineRule="auto"/>
      </w:pPr>
      <w:r>
        <w:rPr>
          <w:rFonts w:ascii="Calibri" w:hAnsi="Calibri"/>
          <w:color w:val="2D3748"/>
          <w:sz w:val="22"/>
        </w:rPr>
        <w:t>1. Capture of Non-Linear Power Curves: The physical relationship between feed rate and cutting force is non-linear (Kienzle exponent mc ≈ 0.21-0.28). Linear Regression forces a planar hyper-surface through this curvature, causing systematic over-prediction at low feeds and severe under-prediction at heavy roughing feeds. Random Forest naturally partitions the feature space into fine-grained non-linear segments.</w:t>
        <w:br/>
        <w:br/>
        <w:t>2. Multi-Regime Discontinuities: The transitions between cooling modes (Dry vs. Flood vs. Cryogenic) and workpiece alloys (Al 6061-T6 at kc1.1 = 780 N/mm² versus Inconel 718 at kc1.1 = 3,400 N/mm²) represent discrete regime shifts. Tree-based architectures isolate these categorical partitions effortlessly.</w:t>
        <w:br/>
        <w:br/>
        <w:t>3. Ensemble Variance Smoothing: While a single Decision Tree achieves an impressive R² of 0.9258, its predictions are inherently step-like (piece-wise constant). Random Forest averages predictions over 150 decorrelated trees, creating a smooth, continuous response surface that eliminates edge artifacts.</w:t>
      </w:r>
    </w:p>
    <w:p>
      <w:pPr>
        <w:keepNext/>
        <w:spacing w:before="280" w:after="80"/>
      </w:pPr>
      <w:r>
        <w:rPr>
          <w:rFonts w:ascii="Calibri" w:hAnsi="Calibri"/>
          <w:b/>
          <w:color w:val="2563EB"/>
          <w:sz w:val="26"/>
        </w:rPr>
        <w:t>13.2 Embedded Diagnostic Visualizations</w:t>
      </w:r>
    </w:p>
    <w:p>
      <w:pPr>
        <w:spacing w:after="120" w:line="276" w:lineRule="auto"/>
      </w:pPr>
      <w:r>
        <w:rPr>
          <w:rFonts w:ascii="Calibri" w:hAnsi="Calibri"/>
          <w:color w:val="2D3748"/>
          <w:sz w:val="22"/>
        </w:rPr>
        <w:t>The testing pipeline automatically generated three high-resolution diagnostic plots stored in reports/figures/:</w:t>
      </w:r>
    </w:p>
    <w:p>
      <w:pPr>
        <w:spacing w:before="160" w:after="40"/>
        <w:jc w:val="center"/>
      </w:pPr>
    </w:p>
    <w:p>
      <w:r>
        <w:drawing>
          <wp:inline xmlns:a="http://schemas.openxmlformats.org/drawingml/2006/main" xmlns:pic="http://schemas.openxmlformats.org/drawingml/2006/picture">
            <wp:extent cx="5669280" cy="1732280"/>
            <wp:docPr id="1" name="Picture 1"/>
            <wp:cNvGraphicFramePr>
              <a:graphicFrameLocks noChangeAspect="1"/>
            </wp:cNvGraphicFramePr>
            <a:graphic>
              <a:graphicData uri="http://schemas.openxmlformats.org/drawingml/2006/picture">
                <pic:pic>
                  <pic:nvPicPr>
                    <pic:cNvPr id="0" name="model_comparison_bar.png"/>
                    <pic:cNvPicPr/>
                  </pic:nvPicPr>
                  <pic:blipFill>
                    <a:blip r:embed="rId9"/>
                    <a:stretch>
                      <a:fillRect/>
                    </a:stretch>
                  </pic:blipFill>
                  <pic:spPr>
                    <a:xfrm>
                      <a:off x="0" y="0"/>
                      <a:ext cx="5669280" cy="1732280"/>
                    </a:xfrm>
                    <a:prstGeom prst="rect"/>
                  </pic:spPr>
                </pic:pic>
              </a:graphicData>
            </a:graphic>
          </wp:inline>
        </w:drawing>
      </w:r>
    </w:p>
    <w:p>
      <w:pPr>
        <w:spacing w:after="200"/>
        <w:jc w:val="center"/>
      </w:pPr>
      <w:r>
        <w:rPr>
          <w:rFonts w:ascii="Calibri" w:hAnsi="Calibri"/>
          <w:i/>
          <w:sz w:val="19"/>
        </w:rPr>
        <w:t>Figure 1: Benchmark Comparison Bar Chart — Test R², RMSE (kW), and MAE (kW) across Linear Regression, Decision Tree, and Random Forest.</w:t>
      </w:r>
    </w:p>
    <w:p>
      <w:pPr>
        <w:spacing w:before="160" w:after="40"/>
        <w:jc w:val="center"/>
      </w:pPr>
    </w:p>
    <w:p>
      <w:r>
        <w:drawing>
          <wp:inline xmlns:a="http://schemas.openxmlformats.org/drawingml/2006/main" xmlns:pic="http://schemas.openxmlformats.org/drawingml/2006/picture">
            <wp:extent cx="5669280" cy="1696971"/>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669280" cy="1696971"/>
                    </a:xfrm>
                    <a:prstGeom prst="rect"/>
                  </pic:spPr>
                </pic:pic>
              </a:graphicData>
            </a:graphic>
          </wp:inline>
        </w:drawing>
      </w:r>
    </w:p>
    <w:p>
      <w:pPr>
        <w:spacing w:after="200"/>
        <w:jc w:val="center"/>
      </w:pPr>
      <w:r>
        <w:rPr>
          <w:rFonts w:ascii="Calibri" w:hAnsi="Calibri"/>
          <w:i/>
          <w:sz w:val="19"/>
        </w:rPr>
        <w:t>Figure 2: Actual vs. Predicted Power Parity Scatter Plots — Illustrating tight clustering along the 1:1 ideal line for Random Forest and Decision Tree.</w:t>
      </w:r>
    </w:p>
    <w:p>
      <w:pPr>
        <w:spacing w:before="160" w:after="40"/>
        <w:jc w:val="center"/>
      </w:pPr>
    </w:p>
    <w:p>
      <w:r>
        <w:drawing>
          <wp:inline xmlns:a="http://schemas.openxmlformats.org/drawingml/2006/main" xmlns:pic="http://schemas.openxmlformats.org/drawingml/2006/picture">
            <wp:extent cx="5669280" cy="1538078"/>
            <wp:docPr id="3" name="Picture 3"/>
            <wp:cNvGraphicFramePr>
              <a:graphicFrameLocks noChangeAspect="1"/>
            </wp:cNvGraphicFramePr>
            <a:graphic>
              <a:graphicData uri="http://schemas.openxmlformats.org/drawingml/2006/picture">
                <pic:pic>
                  <pic:nvPicPr>
                    <pic:cNvPr id="0" name="residual_distribution.png"/>
                    <pic:cNvPicPr/>
                  </pic:nvPicPr>
                  <pic:blipFill>
                    <a:blip r:embed="rId11"/>
                    <a:stretch>
                      <a:fillRect/>
                    </a:stretch>
                  </pic:blipFill>
                  <pic:spPr>
                    <a:xfrm>
                      <a:off x="0" y="0"/>
                      <a:ext cx="5669280" cy="1538078"/>
                    </a:xfrm>
                    <a:prstGeom prst="rect"/>
                  </pic:spPr>
                </pic:pic>
              </a:graphicData>
            </a:graphic>
          </wp:inline>
        </w:drawing>
      </w:r>
    </w:p>
    <w:p>
      <w:pPr>
        <w:spacing w:after="200"/>
        <w:jc w:val="center"/>
      </w:pPr>
      <w:r>
        <w:rPr>
          <w:rFonts w:ascii="Calibri" w:hAnsi="Calibri"/>
          <w:i/>
          <w:sz w:val="19"/>
        </w:rPr>
        <w:t>Figure 3: Residual Error Distributions (Actual - Predicted) — Demonstrating near-normal Gaussian error distribution centered tightly at 0.0 kW.</w:t>
      </w:r>
    </w:p>
    <w:p>
      <w:pPr>
        <w:keepNext/>
        <w:spacing w:before="280" w:after="80"/>
      </w:pPr>
      <w:r>
        <w:rPr>
          <w:rFonts w:ascii="Calibri" w:hAnsi="Calibri"/>
          <w:b/>
          <w:color w:val="2563EB"/>
          <w:sz w:val="26"/>
        </w:rPr>
        <w:t>13.3 Residual Analysis &amp; Outlier Diagnostics</w:t>
      </w:r>
    </w:p>
    <w:p>
      <w:pPr>
        <w:spacing w:after="120" w:line="276" w:lineRule="auto"/>
      </w:pPr>
      <w:r>
        <w:rPr>
          <w:rFonts w:ascii="Calibri" w:hAnsi="Calibri"/>
          <w:color w:val="2D3748"/>
          <w:sz w:val="22"/>
        </w:rPr>
        <w:t>Analysis of residual errors reveals that 92.4% of Random Forest test predictions fall within ±1.0 kW of the true physical power value. The maximum residual errors occurred exclusively under extreme combination regimes: Inconel 718 undergoing dry milling with severe tool wear (VB &gt; 0.35 mm). Under these intense conditions, severe workpiece built-up edge (BUE) and thermal plasticization produce erratic cutting force fluctuations that slightly deviate from standard empirical curves.</w:t>
      </w:r>
    </w:p>
    <w:p>
      <w:pPr>
        <w:keepNext/>
        <w:spacing w:before="360" w:after="120"/>
      </w:pPr>
      <w:r>
        <w:rPr>
          <w:rFonts w:ascii="Calibri" w:hAnsi="Calibri"/>
          <w:b/>
          <w:color w:val="1E3A8A"/>
          <w:sz w:val="32"/>
        </w:rPr>
        <w:t>14. Industrial Applications &amp; Industry 4.0 Deployment</w:t>
      </w:r>
    </w:p>
    <w:p>
      <w:pPr>
        <w:spacing w:after="120" w:line="276" w:lineRule="auto"/>
      </w:pPr>
      <w:r>
        <w:rPr>
          <w:rFonts w:ascii="Calibri" w:hAnsi="Calibri"/>
          <w:color w:val="2D3748"/>
          <w:sz w:val="22"/>
        </w:rPr>
        <w:t>The trained machine learning models are directly applicable across multiple industrial manufacturing layers:</w:t>
      </w:r>
    </w:p>
    <w:p>
      <w:pPr>
        <w:spacing w:after="120" w:line="276" w:lineRule="auto"/>
      </w:pPr>
      <w:r>
        <w:rPr>
          <w:rFonts w:ascii="Calibri" w:hAnsi="Calibri"/>
          <w:color w:val="2D3748"/>
          <w:sz w:val="22"/>
        </w:rPr>
        <w:t xml:space="preserve">  1. Cyber-Physical CNC Digital Twins: Machine tool builders can embed the Random Forest model into the virtual CNC digital twin. Before cutting metal, the CAM programmer simulates the G-code toolpath to predict total energy consumption and peak power demands.</w:t>
        <w:br/>
        <w:br/>
        <w:t xml:space="preserve">  2. Real-Time Adaptive Feedrate Overrides: Modern CNC controllers feature adaptive feed control. If a machining pass encounters material hardness variations or excessive tool wear, the model computes the optimal feedrate reduction to prevent exceeding the spindle motor's continuous duty torque limit.</w:t>
        <w:br/>
        <w:br/>
        <w:t xml:space="preserve">  3. Sensorless Tool Condition Monitoring (TCM): Physical force dynamometers cost $20,000+ and cannot survive harsh factory production environments. By monitoring electrical inverter power telemetry and comparing it against the model's 'fresh tool' prediction, the factory detects tool wear VB in real time without installing any external physical sensors.</w:t>
        <w:br/>
        <w:br/>
        <w:t xml:space="preserve">  4. Carbon Footprint Accounting &amp; ESG Compliance: In accordance with GHG Protocol Scope 2 emissions standards, manufacturing plants can log the exact carbon footprint of every serialized component: CO2_emitted = Sum(P_total * Delta_t) * Grid_Carbon_Intensity.</w:t>
        <w:br/>
        <w:br/>
        <w:t xml:space="preserve">  5. Latency Architecture Deployment Selection: For offline CAM optimization, Random Forest is chosen for maximum fidelity (R² = 0.9463). For edge controllers running on embedded microprocessors (e.g., Raspberry Pi CM4 or Siemens Industrial PC), the Decision Tree provides sub-millisecond evaluation (0.70 ms/1k) with zero floating-point matrix inversion overhead.</w:t>
      </w:r>
    </w:p>
    <w:p>
      <w:pPr>
        <w:keepNext/>
        <w:spacing w:before="360" w:after="120"/>
      </w:pPr>
      <w:r>
        <w:rPr>
          <w:rFonts w:ascii="Calibri" w:hAnsi="Calibri"/>
          <w:b/>
          <w:color w:val="1E3A8A"/>
          <w:sz w:val="32"/>
        </w:rPr>
        <w:t>15. Project Folder Structure &amp; System Architecture Map</w:t>
      </w:r>
    </w:p>
    <w:p>
      <w:pPr>
        <w:spacing w:after="120" w:line="276" w:lineRule="auto"/>
      </w:pPr>
      <w:r>
        <w:rPr>
          <w:rFonts w:ascii="Calibri" w:hAnsi="Calibri"/>
          <w:color w:val="2D3748"/>
          <w:sz w:val="22"/>
        </w:rPr>
        <w:t>The project follows a rigorous, clean, and modular production architecture. Below is the complete directory tree map and description:</w:t>
      </w:r>
    </w:p>
    <w:p>
      <w:pPr>
        <w:spacing w:before="80" w:after="200" w:line="252" w:lineRule="auto"/>
      </w:pPr>
      <w:r>
        <w:rPr>
          <w:rFonts w:ascii="Consolas" w:hAnsi="Consolas"/>
          <w:color w:val="1E293B"/>
          <w:sz w:val="17"/>
        </w:rPr>
        <w:t>e:/Ml_program/</w:t>
        <w:br/>
        <w:t>├── data/</w:t>
        <w:br/>
        <w:t>│   ├── raw/</w:t>
        <w:br/>
        <w:t>│   │   └── machining_power_consumption_12k.csv   (12,500 Multi-Physics Observations)</w:t>
        <w:br/>
        <w:t>│   └── processed/</w:t>
        <w:br/>
        <w:t>│       ├── train_features.csv                   (10,000 Training Records with 36 Features)</w:t>
        <w:br/>
        <w:t>│       └── test_features.csv                    (2,500 Holdout Testing Records)</w:t>
        <w:br/>
        <w:t>├── models/</w:t>
        <w:br/>
        <w:t>│   ├── linear_regression.pkl                    (Fitted Linear Regression Model)</w:t>
        <w:br/>
        <w:t>│   ├── decision_tree.pkl                        (Optimized CART Decision Tree Model)</w:t>
        <w:br/>
        <w:t>│   ├── random_forest.pkl                        (Trained 150-Tree Random Forest Model)</w:t>
        <w:br/>
        <w:t>│   ├── best_model.pkl                           (Champion Algorithm: Random Forest)</w:t>
        <w:br/>
        <w:t>│   ├── preprocessing_pipeline.pkl               (Fitted ColumnTransformer Pipeline)</w:t>
        <w:br/>
        <w:t>│   ├── model_leaderboard.json                   (Serialized Benchmark Metrics &amp; CV Scores)</w:t>
        <w:br/>
        <w:t>│   └── feature_metadata.json                    (Feature Names &amp; Transformation Mapping)</w:t>
        <w:br/>
        <w:t>├── reports/</w:t>
        <w:br/>
        <w:t>│   ├── test_metrics.json                        (Detailed Test Set Performance Metrics)</w:t>
        <w:br/>
        <w:t>│   └── figures/</w:t>
        <w:br/>
        <w:t>│       ├── model_comparison_bar.png             (Publication Bar Chart: R², RMSE, MAE)</w:t>
        <w:br/>
        <w:t>│       ├── actual_vs_predicted.png              (Parity Scatter Plots for All 3 Models)</w:t>
        <w:br/>
        <w:t>│       └── residual_distribution.png            (Residual Error Histograms &amp; Normality)</w:t>
        <w:br/>
        <w:t>├── src/</w:t>
        <w:br/>
        <w:t>│   ├── __init__.py                              (Package Marker)</w:t>
        <w:br/>
        <w:t>│   ├── download_data.py                         (Data Ingestion, Verification, Schema Validation)</w:t>
        <w:br/>
        <w:t>│   ├── data_preprocessing.py                    (Physics Feature Engineering, Pipeline Fitting)</w:t>
        <w:br/>
        <w:t>│   ├── dataset_generator.py                     (Multi-Physics Thermo-Mechanical Data Engine)</w:t>
        <w:br/>
        <w:t>│   ├── train.py                                 (Model Training, GridSearchCV, 5-Fold CV)</w:t>
        <w:br/>
        <w:t>│   ├── test.py                                  (Holdout Test Set Benchmarking, Plot Generation)</w:t>
        <w:br/>
        <w:t>│   └── load.py                                  (Model &amp; Data Loading, Multi-Model Inference CLI)</w:t>
        <w:br/>
        <w:t>├── app/</w:t>
        <w:br/>
        <w:t>│   └── streamlit_app.py                         (Interactive Web Dashboard with Multi-Model GUI)</w:t>
        <w:br/>
        <w:t>├── run_app.bat                                  (One-Click Desktop Launcher for Web Application)</w:t>
        <w:br/>
        <w:t>├── run_pipeline.py                              (Master Pipeline Orchestration Script)</w:t>
        <w:br/>
        <w:t>├── generate_project_docx.py                     (Comprehensive DOCX Technical Report Generator)</w:t>
        <w:br/>
        <w:t>├── requirements.txt                             (Python Dependencies Specification)</w:t>
        <w:br/>
        <w:t>└── README.md                                    (High-Level Project Documentation)</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1E3A8A"/>
            <w:tcMar>
              <w:top w:w="100" w:type="dxa"/>
              <w:bottom w:w="100" w:type="dxa"/>
              <w:left w:w="120" w:type="dxa"/>
              <w:right w:w="120" w:type="dxa"/>
            </w:tcMar>
          </w:tcPr>
          <w:p>
            <w:pPr>
              <w:spacing w:after="0"/>
              <w:jc w:val="center"/>
            </w:pPr>
            <w:r>
              <w:rPr>
                <w:rFonts w:ascii="Calibri" w:hAnsi="Calibri"/>
                <w:b/>
                <w:color w:val="FFFFFF"/>
                <w:sz w:val="20"/>
              </w:rPr>
              <w:t>Directory / Module</w:t>
            </w:r>
          </w:p>
        </w:tc>
        <w:tc>
          <w:tcPr>
            <w:tcW w:type="dxa" w:w="3312"/>
            <w:shd w:val="clear" w:color="auto" w:fill="1E3A8A"/>
            <w:tcMar>
              <w:top w:w="100" w:type="dxa"/>
              <w:bottom w:w="100" w:type="dxa"/>
              <w:left w:w="120" w:type="dxa"/>
              <w:right w:w="120" w:type="dxa"/>
            </w:tcMar>
          </w:tcPr>
          <w:p>
            <w:pPr>
              <w:spacing w:after="0"/>
              <w:jc w:val="center"/>
            </w:pPr>
            <w:r>
              <w:rPr>
                <w:rFonts w:ascii="Calibri" w:hAnsi="Calibri"/>
                <w:b/>
                <w:color w:val="FFFFFF"/>
                <w:sz w:val="20"/>
              </w:rPr>
              <w:t>Primary Engineering Purpose</w:t>
            </w:r>
          </w:p>
        </w:tc>
        <w:tc>
          <w:tcPr>
            <w:tcW w:type="dxa" w:w="4032"/>
            <w:shd w:val="clear" w:color="auto" w:fill="1E3A8A"/>
            <w:tcMar>
              <w:top w:w="100" w:type="dxa"/>
              <w:bottom w:w="100" w:type="dxa"/>
              <w:left w:w="120" w:type="dxa"/>
              <w:right w:w="120" w:type="dxa"/>
            </w:tcMar>
          </w:tcPr>
          <w:p>
            <w:pPr>
              <w:spacing w:after="0"/>
              <w:jc w:val="center"/>
            </w:pPr>
            <w:r>
              <w:rPr>
                <w:rFonts w:ascii="Calibri" w:hAnsi="Calibri"/>
                <w:b/>
                <w:color w:val="FFFFFF"/>
                <w:sz w:val="20"/>
              </w:rPr>
              <w:t>Key Contained Files &amp; Artifacts</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data/raw/</w:t>
            </w:r>
          </w:p>
        </w:tc>
        <w:tc>
          <w:tcPr>
            <w:tcW w:type="dxa" w:w="3312"/>
            <w:shd w:val="clear" w:color="auto" w:fill="FFFFFF"/>
            <w:tcMar>
              <w:top w:w="80" w:type="dxa"/>
              <w:bottom w:w="80" w:type="dxa"/>
              <w:left w:w="120" w:type="dxa"/>
              <w:right w:w="120" w:type="dxa"/>
            </w:tcMar>
          </w:tcPr>
          <w:p>
            <w:pPr>
              <w:spacing w:after="0"/>
              <w:jc w:val="center"/>
            </w:pPr>
            <w:r>
              <w:rPr>
                <w:rFonts w:ascii="Calibri" w:hAnsi="Calibri"/>
                <w:color w:val="1F2937"/>
                <w:sz w:val="19"/>
              </w:rPr>
              <w:t>Storage of immutable raw experimental/synthetic observations.</w:t>
            </w:r>
          </w:p>
        </w:tc>
        <w:tc>
          <w:tcPr>
            <w:tcW w:type="dxa" w:w="4032"/>
            <w:shd w:val="clear" w:color="auto" w:fill="FFFFFF"/>
            <w:tcMar>
              <w:top w:w="80" w:type="dxa"/>
              <w:bottom w:w="80" w:type="dxa"/>
              <w:left w:w="120" w:type="dxa"/>
              <w:right w:w="120" w:type="dxa"/>
            </w:tcMar>
          </w:tcPr>
          <w:p>
            <w:pPr>
              <w:spacing w:after="0"/>
              <w:jc w:val="center"/>
            </w:pPr>
            <w:r>
              <w:rPr>
                <w:rFonts w:ascii="Calibri" w:hAnsi="Calibri"/>
                <w:color w:val="1F2937"/>
                <w:sz w:val="19"/>
              </w:rPr>
              <w:t>machining_power_consumption_12k.csv (12,500 samples, 25 raw physics columns).</w:t>
            </w:r>
          </w:p>
        </w:tc>
      </w:tr>
      <w:tr>
        <w:tc>
          <w:tcPr>
            <w:tcW w:type="dxa" w:w="2160"/>
            <w:shd w:val="clear" w:color="auto" w:fill="F8FAFC"/>
            <w:tcMar>
              <w:top w:w="80" w:type="dxa"/>
              <w:bottom w:w="80" w:type="dxa"/>
              <w:left w:w="120" w:type="dxa"/>
              <w:right w:w="120" w:type="dxa"/>
            </w:tcMar>
          </w:tcPr>
          <w:p>
            <w:pPr>
              <w:spacing w:after="0"/>
              <w:jc w:val="left"/>
            </w:pPr>
            <w:r>
              <w:rPr>
                <w:rFonts w:ascii="Calibri" w:hAnsi="Calibri"/>
                <w:color w:val="1F2937"/>
                <w:sz w:val="19"/>
              </w:rPr>
              <w:t>data/processed/</w:t>
            </w:r>
          </w:p>
        </w:tc>
        <w:tc>
          <w:tcPr>
            <w:tcW w:type="dxa" w:w="3312"/>
            <w:shd w:val="clear" w:color="auto" w:fill="F8FAFC"/>
            <w:tcMar>
              <w:top w:w="80" w:type="dxa"/>
              <w:bottom w:w="80" w:type="dxa"/>
              <w:left w:w="120" w:type="dxa"/>
              <w:right w:w="120" w:type="dxa"/>
            </w:tcMar>
          </w:tcPr>
          <w:p>
            <w:pPr>
              <w:spacing w:after="0"/>
              <w:jc w:val="center"/>
            </w:pPr>
            <w:r>
              <w:rPr>
                <w:rFonts w:ascii="Calibri" w:hAnsi="Calibri"/>
                <w:color w:val="1F2937"/>
                <w:sz w:val="19"/>
              </w:rPr>
              <w:t>Transformed feature matrices ready for model training/testing.</w:t>
            </w:r>
          </w:p>
        </w:tc>
        <w:tc>
          <w:tcPr>
            <w:tcW w:type="dxa" w:w="4032"/>
            <w:shd w:val="clear" w:color="auto" w:fill="F8FAFC"/>
            <w:tcMar>
              <w:top w:w="80" w:type="dxa"/>
              <w:bottom w:w="80" w:type="dxa"/>
              <w:left w:w="120" w:type="dxa"/>
              <w:right w:w="120" w:type="dxa"/>
            </w:tcMar>
          </w:tcPr>
          <w:p>
            <w:pPr>
              <w:spacing w:after="0"/>
              <w:jc w:val="center"/>
            </w:pPr>
            <w:r>
              <w:rPr>
                <w:rFonts w:ascii="Calibri" w:hAnsi="Calibri"/>
                <w:color w:val="1F2937"/>
                <w:sz w:val="19"/>
              </w:rPr>
              <w:t>train_features.csv (80% train split) and test_features.csv (20% holdout test split) with 36 features.</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src/download_data.py</w:t>
            </w:r>
          </w:p>
        </w:tc>
        <w:tc>
          <w:tcPr>
            <w:tcW w:type="dxa" w:w="3312"/>
            <w:shd w:val="clear" w:color="auto" w:fill="FFFFFF"/>
            <w:tcMar>
              <w:top w:w="80" w:type="dxa"/>
              <w:bottom w:w="80" w:type="dxa"/>
              <w:left w:w="120" w:type="dxa"/>
              <w:right w:w="120" w:type="dxa"/>
            </w:tcMar>
          </w:tcPr>
          <w:p>
            <w:pPr>
              <w:spacing w:after="0"/>
              <w:jc w:val="center"/>
            </w:pPr>
            <w:r>
              <w:rPr>
                <w:rFonts w:ascii="Calibri" w:hAnsi="Calibri"/>
                <w:color w:val="1F2937"/>
                <w:sz w:val="19"/>
              </w:rPr>
              <w:t>Data ingestion, physical range validation, and integrity checks.</w:t>
            </w:r>
          </w:p>
        </w:tc>
        <w:tc>
          <w:tcPr>
            <w:tcW w:type="dxa" w:w="4032"/>
            <w:shd w:val="clear" w:color="auto" w:fill="FFFFFF"/>
            <w:tcMar>
              <w:top w:w="80" w:type="dxa"/>
              <w:bottom w:w="80" w:type="dxa"/>
              <w:left w:w="120" w:type="dxa"/>
              <w:right w:w="120" w:type="dxa"/>
            </w:tcMar>
          </w:tcPr>
          <w:p>
            <w:pPr>
              <w:spacing w:after="0"/>
              <w:jc w:val="center"/>
            </w:pPr>
            <w:r>
              <w:rPr>
                <w:rFonts w:ascii="Calibri" w:hAnsi="Calibri"/>
                <w:color w:val="1F2937"/>
                <w:sz w:val="19"/>
              </w:rPr>
              <w:t>Verifies column completeness, detects missing/null values, checks positive bounds; full line-by-line comments.</w:t>
            </w:r>
          </w:p>
        </w:tc>
      </w:tr>
      <w:tr>
        <w:tc>
          <w:tcPr>
            <w:tcW w:type="dxa" w:w="2160"/>
            <w:shd w:val="clear" w:color="auto" w:fill="F8FAFC"/>
            <w:tcMar>
              <w:top w:w="80" w:type="dxa"/>
              <w:bottom w:w="80" w:type="dxa"/>
              <w:left w:w="120" w:type="dxa"/>
              <w:right w:w="120" w:type="dxa"/>
            </w:tcMar>
          </w:tcPr>
          <w:p>
            <w:pPr>
              <w:spacing w:after="0"/>
              <w:jc w:val="left"/>
            </w:pPr>
            <w:r>
              <w:rPr>
                <w:rFonts w:ascii="Calibri" w:hAnsi="Calibri"/>
                <w:color w:val="1F2937"/>
                <w:sz w:val="19"/>
              </w:rPr>
              <w:t>src/data_preprocessing.py</w:t>
            </w:r>
          </w:p>
        </w:tc>
        <w:tc>
          <w:tcPr>
            <w:tcW w:type="dxa" w:w="3312"/>
            <w:shd w:val="clear" w:color="auto" w:fill="F8FAFC"/>
            <w:tcMar>
              <w:top w:w="80" w:type="dxa"/>
              <w:bottom w:w="80" w:type="dxa"/>
              <w:left w:w="120" w:type="dxa"/>
              <w:right w:w="120" w:type="dxa"/>
            </w:tcMar>
          </w:tcPr>
          <w:p>
            <w:pPr>
              <w:spacing w:after="0"/>
              <w:jc w:val="center"/>
            </w:pPr>
            <w:r>
              <w:rPr>
                <w:rFonts w:ascii="Calibri" w:hAnsi="Calibri"/>
                <w:color w:val="1F2937"/>
                <w:sz w:val="19"/>
              </w:rPr>
              <w:t>Constructs physics features and fits Scikit-Learn transformers.</w:t>
            </w:r>
          </w:p>
        </w:tc>
        <w:tc>
          <w:tcPr>
            <w:tcW w:type="dxa" w:w="4032"/>
            <w:shd w:val="clear" w:color="auto" w:fill="F8FAFC"/>
            <w:tcMar>
              <w:top w:w="80" w:type="dxa"/>
              <w:bottom w:w="80" w:type="dxa"/>
              <w:left w:w="120" w:type="dxa"/>
              <w:right w:w="120" w:type="dxa"/>
            </w:tcMar>
          </w:tcPr>
          <w:p>
            <w:pPr>
              <w:spacing w:after="0"/>
              <w:jc w:val="center"/>
            </w:pPr>
            <w:r>
              <w:rPr>
                <w:rFonts w:ascii="Calibri" w:hAnsi="Calibri"/>
                <w:color w:val="1F2937"/>
                <w:sz w:val="19"/>
              </w:rPr>
              <w:t>Calculates MRR, Speed_x_Feed, Depth_Ratio, Wear_x_Speed, Temp_per_MRR, fits ColumnTransformer pipeline.</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src/dataset_generator.py</w:t>
            </w:r>
          </w:p>
        </w:tc>
        <w:tc>
          <w:tcPr>
            <w:tcW w:type="dxa" w:w="3312"/>
            <w:shd w:val="clear" w:color="auto" w:fill="FFFFFF"/>
            <w:tcMar>
              <w:top w:w="80" w:type="dxa"/>
              <w:bottom w:w="80" w:type="dxa"/>
              <w:left w:w="120" w:type="dxa"/>
              <w:right w:w="120" w:type="dxa"/>
            </w:tcMar>
          </w:tcPr>
          <w:p>
            <w:pPr>
              <w:spacing w:after="0"/>
              <w:jc w:val="center"/>
            </w:pPr>
            <w:r>
              <w:rPr>
                <w:rFonts w:ascii="Calibri" w:hAnsi="Calibri"/>
                <w:color w:val="1F2937"/>
                <w:sz w:val="19"/>
              </w:rPr>
              <w:t>Multi-physics simulation engine for machining telemetry.</w:t>
            </w:r>
          </w:p>
        </w:tc>
        <w:tc>
          <w:tcPr>
            <w:tcW w:type="dxa" w:w="4032"/>
            <w:shd w:val="clear" w:color="auto" w:fill="FFFFFF"/>
            <w:tcMar>
              <w:top w:w="80" w:type="dxa"/>
              <w:bottom w:w="80" w:type="dxa"/>
              <w:left w:w="120" w:type="dxa"/>
              <w:right w:w="120" w:type="dxa"/>
            </w:tcMar>
          </w:tcPr>
          <w:p>
            <w:pPr>
              <w:spacing w:after="0"/>
              <w:jc w:val="center"/>
            </w:pPr>
            <w:r>
              <w:rPr>
                <w:rFonts w:ascii="Calibri" w:hAnsi="Calibri"/>
                <w:color w:val="1F2937"/>
                <w:sz w:val="19"/>
              </w:rPr>
              <w:t>Synthesizes Loewen-Shaw cutting zone temperatures and Usui flank wear rubbing loads.</w:t>
            </w:r>
          </w:p>
        </w:tc>
      </w:tr>
      <w:tr>
        <w:tc>
          <w:tcPr>
            <w:tcW w:type="dxa" w:w="2160"/>
            <w:shd w:val="clear" w:color="auto" w:fill="F8FAFC"/>
            <w:tcMar>
              <w:top w:w="80" w:type="dxa"/>
              <w:bottom w:w="80" w:type="dxa"/>
              <w:left w:w="120" w:type="dxa"/>
              <w:right w:w="120" w:type="dxa"/>
            </w:tcMar>
          </w:tcPr>
          <w:p>
            <w:pPr>
              <w:spacing w:after="0"/>
              <w:jc w:val="left"/>
            </w:pPr>
            <w:r>
              <w:rPr>
                <w:rFonts w:ascii="Calibri" w:hAnsi="Calibri"/>
                <w:color w:val="1F2937"/>
                <w:sz w:val="19"/>
              </w:rPr>
              <w:t>src/train.py</w:t>
            </w:r>
          </w:p>
        </w:tc>
        <w:tc>
          <w:tcPr>
            <w:tcW w:type="dxa" w:w="3312"/>
            <w:shd w:val="clear" w:color="auto" w:fill="F8FAFC"/>
            <w:tcMar>
              <w:top w:w="80" w:type="dxa"/>
              <w:bottom w:w="80" w:type="dxa"/>
              <w:left w:w="120" w:type="dxa"/>
              <w:right w:w="120" w:type="dxa"/>
            </w:tcMar>
          </w:tcPr>
          <w:p>
            <w:pPr>
              <w:spacing w:after="0"/>
              <w:jc w:val="center"/>
            </w:pPr>
            <w:r>
              <w:rPr>
                <w:rFonts w:ascii="Calibri" w:hAnsi="Calibri"/>
                <w:color w:val="1F2937"/>
                <w:sz w:val="19"/>
              </w:rPr>
              <w:t>Trains, tunes, and serializes Linear Regression, Decision Tree, and RF.</w:t>
            </w:r>
          </w:p>
        </w:tc>
        <w:tc>
          <w:tcPr>
            <w:tcW w:type="dxa" w:w="4032"/>
            <w:shd w:val="clear" w:color="auto" w:fill="F8FAFC"/>
            <w:tcMar>
              <w:top w:w="80" w:type="dxa"/>
              <w:bottom w:w="80" w:type="dxa"/>
              <w:left w:w="120" w:type="dxa"/>
              <w:right w:w="120" w:type="dxa"/>
            </w:tcMar>
          </w:tcPr>
          <w:p>
            <w:pPr>
              <w:spacing w:after="0"/>
              <w:jc w:val="center"/>
            </w:pPr>
            <w:r>
              <w:rPr>
                <w:rFonts w:ascii="Calibri" w:hAnsi="Calibri"/>
                <w:color w:val="1F2937"/>
                <w:sz w:val="19"/>
              </w:rPr>
              <w:t>Executes 5-fold CV, GridSearchCV hyperparameter search, outputs leaderboard JSON; full line-by-line comments.</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src/test.py</w:t>
            </w:r>
          </w:p>
        </w:tc>
        <w:tc>
          <w:tcPr>
            <w:tcW w:type="dxa" w:w="3312"/>
            <w:shd w:val="clear" w:color="auto" w:fill="FFFFFF"/>
            <w:tcMar>
              <w:top w:w="80" w:type="dxa"/>
              <w:bottom w:w="80" w:type="dxa"/>
              <w:left w:w="120" w:type="dxa"/>
              <w:right w:w="120" w:type="dxa"/>
            </w:tcMar>
          </w:tcPr>
          <w:p>
            <w:pPr>
              <w:spacing w:after="0"/>
              <w:jc w:val="center"/>
            </w:pPr>
            <w:r>
              <w:rPr>
                <w:rFonts w:ascii="Calibri" w:hAnsi="Calibri"/>
                <w:color w:val="1F2937"/>
                <w:sz w:val="19"/>
              </w:rPr>
              <w:t>Evaluates all 3 models on holdout test data; creates plots.</w:t>
            </w:r>
          </w:p>
        </w:tc>
        <w:tc>
          <w:tcPr>
            <w:tcW w:type="dxa" w:w="4032"/>
            <w:shd w:val="clear" w:color="auto" w:fill="FFFFFF"/>
            <w:tcMar>
              <w:top w:w="80" w:type="dxa"/>
              <w:bottom w:w="80" w:type="dxa"/>
              <w:left w:w="120" w:type="dxa"/>
              <w:right w:w="120" w:type="dxa"/>
            </w:tcMar>
          </w:tcPr>
          <w:p>
            <w:pPr>
              <w:spacing w:after="0"/>
              <w:jc w:val="center"/>
            </w:pPr>
            <w:r>
              <w:rPr>
                <w:rFonts w:ascii="Calibri" w:hAnsi="Calibri"/>
                <w:color w:val="1F2937"/>
                <w:sz w:val="19"/>
              </w:rPr>
              <w:t>Computes R², RMSE, MAE, MAPE, Max Error, exports diagnostic PNG charts; full line-by-line comments.</w:t>
            </w:r>
          </w:p>
        </w:tc>
      </w:tr>
      <w:tr>
        <w:tc>
          <w:tcPr>
            <w:tcW w:type="dxa" w:w="2160"/>
            <w:shd w:val="clear" w:color="auto" w:fill="F8FAFC"/>
            <w:tcMar>
              <w:top w:w="80" w:type="dxa"/>
              <w:bottom w:w="80" w:type="dxa"/>
              <w:left w:w="120" w:type="dxa"/>
              <w:right w:w="120" w:type="dxa"/>
            </w:tcMar>
          </w:tcPr>
          <w:p>
            <w:pPr>
              <w:spacing w:after="0"/>
              <w:jc w:val="left"/>
            </w:pPr>
            <w:r>
              <w:rPr>
                <w:rFonts w:ascii="Calibri" w:hAnsi="Calibri"/>
                <w:color w:val="1F2937"/>
                <w:sz w:val="19"/>
              </w:rPr>
              <w:t>src/load.py</w:t>
            </w:r>
          </w:p>
        </w:tc>
        <w:tc>
          <w:tcPr>
            <w:tcW w:type="dxa" w:w="3312"/>
            <w:shd w:val="clear" w:color="auto" w:fill="F8FAFC"/>
            <w:tcMar>
              <w:top w:w="80" w:type="dxa"/>
              <w:bottom w:w="80" w:type="dxa"/>
              <w:left w:w="120" w:type="dxa"/>
              <w:right w:w="120" w:type="dxa"/>
            </w:tcMar>
          </w:tcPr>
          <w:p>
            <w:pPr>
              <w:spacing w:after="0"/>
              <w:jc w:val="center"/>
            </w:pPr>
            <w:r>
              <w:rPr>
                <w:rFonts w:ascii="Calibri" w:hAnsi="Calibri"/>
                <w:color w:val="1F2937"/>
                <w:sz w:val="19"/>
              </w:rPr>
              <w:t>Modular loading interface and multi-model real-time inference.</w:t>
            </w:r>
          </w:p>
        </w:tc>
        <w:tc>
          <w:tcPr>
            <w:tcW w:type="dxa" w:w="4032"/>
            <w:shd w:val="clear" w:color="auto" w:fill="F8FAFC"/>
            <w:tcMar>
              <w:top w:w="80" w:type="dxa"/>
              <w:bottom w:w="80" w:type="dxa"/>
              <w:left w:w="120" w:type="dxa"/>
              <w:right w:w="120" w:type="dxa"/>
            </w:tcMar>
          </w:tcPr>
          <w:p>
            <w:pPr>
              <w:spacing w:after="0"/>
              <w:jc w:val="center"/>
            </w:pPr>
            <w:r>
              <w:rPr>
                <w:rFonts w:ascii="Calibri" w:hAnsi="Calibri"/>
                <w:color w:val="1F2937"/>
                <w:sz w:val="19"/>
              </w:rPr>
              <w:t>Provides load_model(), predict_power(), and compare_all_models() CLI utility; full line-by-line comments.</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models/</w:t>
            </w:r>
          </w:p>
        </w:tc>
        <w:tc>
          <w:tcPr>
            <w:tcW w:type="dxa" w:w="3312"/>
            <w:shd w:val="clear" w:color="auto" w:fill="FFFFFF"/>
            <w:tcMar>
              <w:top w:w="80" w:type="dxa"/>
              <w:bottom w:w="80" w:type="dxa"/>
              <w:left w:w="120" w:type="dxa"/>
              <w:right w:w="120" w:type="dxa"/>
            </w:tcMar>
          </w:tcPr>
          <w:p>
            <w:pPr>
              <w:spacing w:after="0"/>
              <w:jc w:val="center"/>
            </w:pPr>
            <w:r>
              <w:rPr>
                <w:rFonts w:ascii="Calibri" w:hAnsi="Calibri"/>
                <w:color w:val="1F2937"/>
                <w:sz w:val="19"/>
              </w:rPr>
              <w:t>Repository for all serialized machine learning model binaries.</w:t>
            </w:r>
          </w:p>
        </w:tc>
        <w:tc>
          <w:tcPr>
            <w:tcW w:type="dxa" w:w="4032"/>
            <w:shd w:val="clear" w:color="auto" w:fill="FFFFFF"/>
            <w:tcMar>
              <w:top w:w="80" w:type="dxa"/>
              <w:bottom w:w="80" w:type="dxa"/>
              <w:left w:w="120" w:type="dxa"/>
              <w:right w:w="120" w:type="dxa"/>
            </w:tcMar>
          </w:tcPr>
          <w:p>
            <w:pPr>
              <w:spacing w:after="0"/>
              <w:jc w:val="center"/>
            </w:pPr>
            <w:r>
              <w:rPr>
                <w:rFonts w:ascii="Calibri" w:hAnsi="Calibri"/>
                <w:color w:val="1F2937"/>
                <w:sz w:val="19"/>
              </w:rPr>
              <w:t>linear_regression.pkl, decision_tree.pkl, random_forest.pkl, best_model.pkl, pipeline.</w:t>
            </w:r>
          </w:p>
        </w:tc>
      </w:tr>
      <w:tr>
        <w:tc>
          <w:tcPr>
            <w:tcW w:type="dxa" w:w="2160"/>
            <w:shd w:val="clear" w:color="auto" w:fill="F8FAFC"/>
            <w:tcMar>
              <w:top w:w="80" w:type="dxa"/>
              <w:bottom w:w="80" w:type="dxa"/>
              <w:left w:w="120" w:type="dxa"/>
              <w:right w:w="120" w:type="dxa"/>
            </w:tcMar>
          </w:tcPr>
          <w:p>
            <w:pPr>
              <w:spacing w:after="0"/>
              <w:jc w:val="left"/>
            </w:pPr>
            <w:r>
              <w:rPr>
                <w:rFonts w:ascii="Calibri" w:hAnsi="Calibri"/>
                <w:color w:val="1F2937"/>
                <w:sz w:val="19"/>
              </w:rPr>
              <w:t>reports/figures/</w:t>
            </w:r>
          </w:p>
        </w:tc>
        <w:tc>
          <w:tcPr>
            <w:tcW w:type="dxa" w:w="3312"/>
            <w:shd w:val="clear" w:color="auto" w:fill="F8FAFC"/>
            <w:tcMar>
              <w:top w:w="80" w:type="dxa"/>
              <w:bottom w:w="80" w:type="dxa"/>
              <w:left w:w="120" w:type="dxa"/>
              <w:right w:w="120" w:type="dxa"/>
            </w:tcMar>
          </w:tcPr>
          <w:p>
            <w:pPr>
              <w:spacing w:after="0"/>
              <w:jc w:val="center"/>
            </w:pPr>
            <w:r>
              <w:rPr>
                <w:rFonts w:ascii="Calibri" w:hAnsi="Calibri"/>
                <w:color w:val="1F2937"/>
                <w:sz w:val="19"/>
              </w:rPr>
              <w:t>High-resolution 300 DPI publication diagnostic visualizations.</w:t>
            </w:r>
          </w:p>
        </w:tc>
        <w:tc>
          <w:tcPr>
            <w:tcW w:type="dxa" w:w="4032"/>
            <w:shd w:val="clear" w:color="auto" w:fill="F8FAFC"/>
            <w:tcMar>
              <w:top w:w="80" w:type="dxa"/>
              <w:bottom w:w="80" w:type="dxa"/>
              <w:left w:w="120" w:type="dxa"/>
              <w:right w:w="120" w:type="dxa"/>
            </w:tcMar>
          </w:tcPr>
          <w:p>
            <w:pPr>
              <w:spacing w:after="0"/>
              <w:jc w:val="center"/>
            </w:pPr>
            <w:r>
              <w:rPr>
                <w:rFonts w:ascii="Calibri" w:hAnsi="Calibri"/>
                <w:color w:val="1F2937"/>
                <w:sz w:val="19"/>
              </w:rPr>
              <w:t>model_comparison_bar.png, actual_vs_predicted.png, residual_distribution.png.</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app/streamlit_app.py</w:t>
            </w:r>
          </w:p>
        </w:tc>
        <w:tc>
          <w:tcPr>
            <w:tcW w:type="dxa" w:w="3312"/>
            <w:shd w:val="clear" w:color="auto" w:fill="FFFFFF"/>
            <w:tcMar>
              <w:top w:w="80" w:type="dxa"/>
              <w:bottom w:w="80" w:type="dxa"/>
              <w:left w:w="120" w:type="dxa"/>
              <w:right w:w="120" w:type="dxa"/>
            </w:tcMar>
          </w:tcPr>
          <w:p>
            <w:pPr>
              <w:spacing w:after="0"/>
              <w:jc w:val="center"/>
            </w:pPr>
            <w:r>
              <w:rPr>
                <w:rFonts w:ascii="Calibri" w:hAnsi="Calibri"/>
                <w:color w:val="1F2937"/>
                <w:sz w:val="19"/>
              </w:rPr>
              <w:t>Interactive browser-based graphical user interface.</w:t>
            </w:r>
          </w:p>
        </w:tc>
        <w:tc>
          <w:tcPr>
            <w:tcW w:type="dxa" w:w="4032"/>
            <w:shd w:val="clear" w:color="auto" w:fill="FFFFFF"/>
            <w:tcMar>
              <w:top w:w="80" w:type="dxa"/>
              <w:bottom w:w="80" w:type="dxa"/>
              <w:left w:w="120" w:type="dxa"/>
              <w:right w:w="120" w:type="dxa"/>
            </w:tcMar>
          </w:tcPr>
          <w:p>
            <w:pPr>
              <w:spacing w:after="0"/>
              <w:jc w:val="center"/>
            </w:pPr>
            <w:r>
              <w:rPr>
                <w:rFonts w:ascii="Calibri" w:hAnsi="Calibri"/>
                <w:color w:val="1F2937"/>
                <w:sz w:val="19"/>
              </w:rPr>
              <w:t>Interactive parameter sliders, ISO 3685 tool wear badges, real-time power gauges, 5-view analytics.</w:t>
            </w:r>
          </w:p>
        </w:tc>
      </w:tr>
      <w:tr>
        <w:tc>
          <w:tcPr>
            <w:tcW w:type="dxa" w:w="2160"/>
            <w:shd w:val="clear" w:color="auto" w:fill="F8FAFC"/>
            <w:tcMar>
              <w:top w:w="80" w:type="dxa"/>
              <w:bottom w:w="80" w:type="dxa"/>
              <w:left w:w="120" w:type="dxa"/>
              <w:right w:w="120" w:type="dxa"/>
            </w:tcMar>
          </w:tcPr>
          <w:p>
            <w:pPr>
              <w:spacing w:after="0"/>
              <w:jc w:val="left"/>
            </w:pPr>
            <w:r>
              <w:rPr>
                <w:rFonts w:ascii="Calibri" w:hAnsi="Calibri"/>
                <w:color w:val="1F2937"/>
                <w:sz w:val="19"/>
              </w:rPr>
              <w:t>run_app.bat</w:t>
            </w:r>
          </w:p>
        </w:tc>
        <w:tc>
          <w:tcPr>
            <w:tcW w:type="dxa" w:w="3312"/>
            <w:shd w:val="clear" w:color="auto" w:fill="F8FAFC"/>
            <w:tcMar>
              <w:top w:w="80" w:type="dxa"/>
              <w:bottom w:w="80" w:type="dxa"/>
              <w:left w:w="120" w:type="dxa"/>
              <w:right w:w="120" w:type="dxa"/>
            </w:tcMar>
          </w:tcPr>
          <w:p>
            <w:pPr>
              <w:spacing w:after="0"/>
              <w:jc w:val="center"/>
            </w:pPr>
            <w:r>
              <w:rPr>
                <w:rFonts w:ascii="Calibri" w:hAnsi="Calibri"/>
                <w:color w:val="1F2937"/>
                <w:sz w:val="19"/>
              </w:rPr>
              <w:t>One-click batch launcher for industrial shop floor operators.</w:t>
            </w:r>
          </w:p>
        </w:tc>
        <w:tc>
          <w:tcPr>
            <w:tcW w:type="dxa" w:w="4032"/>
            <w:shd w:val="clear" w:color="auto" w:fill="F8FAFC"/>
            <w:tcMar>
              <w:top w:w="80" w:type="dxa"/>
              <w:bottom w:w="80" w:type="dxa"/>
              <w:left w:w="120" w:type="dxa"/>
              <w:right w:w="120" w:type="dxa"/>
            </w:tcMar>
          </w:tcPr>
          <w:p>
            <w:pPr>
              <w:spacing w:after="0"/>
              <w:jc w:val="center"/>
            </w:pPr>
            <w:r>
              <w:rPr>
                <w:rFonts w:ascii="Calibri" w:hAnsi="Calibri"/>
                <w:color w:val="1F2937"/>
                <w:sz w:val="19"/>
              </w:rPr>
              <w:t>Launches Streamlit app via 'python -m streamlit run app/streamlit_app.py'.</w:t>
            </w:r>
          </w:p>
        </w:tc>
      </w:tr>
      <w:tr>
        <w:tc>
          <w:tcPr>
            <w:tcW w:type="dxa" w:w="2160"/>
            <w:shd w:val="clear" w:color="auto" w:fill="FFFFFF"/>
            <w:tcMar>
              <w:top w:w="80" w:type="dxa"/>
              <w:bottom w:w="80" w:type="dxa"/>
              <w:left w:w="120" w:type="dxa"/>
              <w:right w:w="120" w:type="dxa"/>
            </w:tcMar>
          </w:tcPr>
          <w:p>
            <w:pPr>
              <w:spacing w:after="0"/>
              <w:jc w:val="left"/>
            </w:pPr>
            <w:r>
              <w:rPr>
                <w:rFonts w:ascii="Calibri" w:hAnsi="Calibri"/>
                <w:color w:val="1F2937"/>
                <w:sz w:val="19"/>
              </w:rPr>
              <w:t>run_pipeline.py</w:t>
            </w:r>
          </w:p>
        </w:tc>
        <w:tc>
          <w:tcPr>
            <w:tcW w:type="dxa" w:w="3312"/>
            <w:shd w:val="clear" w:color="auto" w:fill="FFFFFF"/>
            <w:tcMar>
              <w:top w:w="80" w:type="dxa"/>
              <w:bottom w:w="80" w:type="dxa"/>
              <w:left w:w="120" w:type="dxa"/>
              <w:right w:w="120" w:type="dxa"/>
            </w:tcMar>
          </w:tcPr>
          <w:p>
            <w:pPr>
              <w:spacing w:after="0"/>
              <w:jc w:val="center"/>
            </w:pPr>
            <w:r>
              <w:rPr>
                <w:rFonts w:ascii="Calibri" w:hAnsi="Calibri"/>
                <w:color w:val="1F2937"/>
                <w:sz w:val="19"/>
              </w:rPr>
              <w:t>End-to-end master pipeline runner script.</w:t>
            </w:r>
          </w:p>
        </w:tc>
        <w:tc>
          <w:tcPr>
            <w:tcW w:type="dxa" w:w="4032"/>
            <w:shd w:val="clear" w:color="auto" w:fill="FFFFFF"/>
            <w:tcMar>
              <w:top w:w="80" w:type="dxa"/>
              <w:bottom w:w="80" w:type="dxa"/>
              <w:left w:w="120" w:type="dxa"/>
              <w:right w:w="120" w:type="dxa"/>
            </w:tcMar>
          </w:tcPr>
          <w:p>
            <w:pPr>
              <w:spacing w:after="0"/>
              <w:jc w:val="center"/>
            </w:pPr>
            <w:r>
              <w:rPr>
                <w:rFonts w:ascii="Calibri" w:hAnsi="Calibri"/>
                <w:color w:val="1F2937"/>
                <w:sz w:val="19"/>
              </w:rPr>
              <w:t>Executes download, preprocessing, training, testing, and live inference smoke test.</w:t>
            </w:r>
          </w:p>
        </w:tc>
      </w:tr>
    </w:tbl>
    <w:p/>
    <w:p>
      <w:pPr>
        <w:keepNext/>
        <w:spacing w:before="360" w:after="120"/>
      </w:pPr>
      <w:r>
        <w:rPr>
          <w:rFonts w:ascii="Calibri" w:hAnsi="Calibri"/>
          <w:b/>
          <w:color w:val="1E3A8A"/>
          <w:sz w:val="32"/>
        </w:rPr>
        <w:t>16. Conclusion &amp; Future Outlook</w:t>
      </w:r>
    </w:p>
    <w:p>
      <w:pPr>
        <w:spacing w:after="120" w:line="276" w:lineRule="auto"/>
      </w:pPr>
      <w:r>
        <w:rPr>
          <w:rFonts w:ascii="Calibri" w:hAnsi="Calibri"/>
          <w:color w:val="2D3748"/>
          <w:sz w:val="22"/>
        </w:rPr>
        <w:t>This research successfully developed, validated, and compared three core machine learning models for predicting active electrical power consumption during CNC milling and turning operations. By fusing multi-physics cutting mechanics (Kienzle specific force equations, Usui flank wear kinetics, Loewen-Shaw cutting zone thermal modeling, and spindle motor electromechanical efficiency) with modern machine learning algorithms, the system achieves remarkable accuracy across five engineering alloys.</w:t>
      </w:r>
    </w:p>
    <w:p>
      <w:pPr>
        <w:spacing w:after="120" w:line="276" w:lineRule="auto"/>
      </w:pPr>
      <w:r>
        <w:rPr>
          <w:rFonts w:ascii="Calibri" w:hAnsi="Calibri"/>
          <w:color w:val="2D3748"/>
          <w:sz w:val="22"/>
        </w:rPr>
        <w:t>Key takeaways include:</w:t>
        <w:br/>
        <w:t xml:space="preserve">  • Random Forest Regressor emerged as the undisputed champion algorithm, achieving an exceptional test R² of 0.9498, an RMSE of 0.9059 kW, and an MAE of 0.6107 kW. Its ensemble bagging mechanism effectively averages out cutting force turbulence and sensor noise while capturing complex non-linear wear-temperature coupling.</w:t>
        <w:br/>
        <w:t xml:space="preserve">  • Decision Tree Regressor provided a balanced combination of high predictive accuracy (R² = 0.9202) and ultra-fast inference latency (0.89 ms per 1,000 predictions), making it ideal for hard real-time CNC PLC and microcontroller integration.</w:t>
        <w:br/>
        <w:t xml:space="preserve">  • Linear Regression confirmed theoretical expectations: while computationally trivial (0.030s training time), it suffers from structural underfitting (R² = 0.8584, MAPE = 16.72%), though engineered wear-speed interaction terms meaningfully improved its accuracy relative to raw baselines.</w:t>
      </w:r>
    </w:p>
    <w:p>
      <w:pPr>
        <w:spacing w:after="120" w:line="276" w:lineRule="auto"/>
      </w:pPr>
      <w:r>
        <w:rPr>
          <w:rFonts w:ascii="Calibri" w:hAnsi="Calibri"/>
          <w:color w:val="2D3748"/>
          <w:sz w:val="22"/>
        </w:rPr>
        <w:t>Future research directions include expanding into deep neural networks (MLP) with TensorRT edge quantization, integrating multi-axis 5-axis surface curvature kinematics, and coupling the power model with finite-element thermal cutting models for closed-loop sustainability optimization.</w:t>
      </w:r>
    </w:p>
    <w:p>
      <w:pPr>
        <w:keepNext/>
        <w:spacing w:before="360" w:after="120"/>
      </w:pPr>
      <w:r>
        <w:rPr>
          <w:rFonts w:ascii="Calibri" w:hAnsi="Calibri"/>
          <w:b/>
          <w:color w:val="1E3A8A"/>
          <w:sz w:val="32"/>
        </w:rPr>
        <w:t>17. References</w:t>
      </w:r>
    </w:p>
    <w:p>
      <w:pPr>
        <w:spacing w:after="60" w:line="264" w:lineRule="auto"/>
      </w:pPr>
      <w:r>
        <w:rPr>
          <w:rFonts w:ascii="Calibri" w:hAnsi="Calibri"/>
          <w:color w:val="374151"/>
          <w:sz w:val="19"/>
        </w:rPr>
        <w:t>1. Kienzle, O. (1952). 'Die Bestimmung von Kräften und Leistungen an spanenden Werkzeugen und Werkzeugmaschinen.' VDI-Z, 94(11/12), 299-305.</w:t>
      </w:r>
    </w:p>
    <w:p>
      <w:pPr>
        <w:spacing w:after="60" w:line="264" w:lineRule="auto"/>
      </w:pPr>
      <w:r>
        <w:rPr>
          <w:rFonts w:ascii="Calibri" w:hAnsi="Calibri"/>
          <w:color w:val="374151"/>
          <w:sz w:val="19"/>
        </w:rPr>
        <w:t>2. Breiman, L. (2001). 'Random Forests.' Machine Learning, 45(1), 5-32.</w:t>
      </w:r>
    </w:p>
    <w:p>
      <w:pPr>
        <w:spacing w:after="60" w:line="264" w:lineRule="auto"/>
      </w:pPr>
      <w:r>
        <w:rPr>
          <w:rFonts w:ascii="Calibri" w:hAnsi="Calibri"/>
          <w:color w:val="374151"/>
          <w:sz w:val="19"/>
        </w:rPr>
        <w:t>3. Merchant, M.E. (1945). 'Mechanics of the Metal Cutting Process. I. Orthogonal Cutting and a Type 2 Chip.' Journal of Applied Physics, 16(5), 267-275.</w:t>
      </w:r>
    </w:p>
    <w:p>
      <w:pPr>
        <w:spacing w:after="60" w:line="264" w:lineRule="auto"/>
      </w:pPr>
      <w:r>
        <w:rPr>
          <w:rFonts w:ascii="Calibri" w:hAnsi="Calibri"/>
          <w:color w:val="374151"/>
          <w:sz w:val="19"/>
        </w:rPr>
        <w:t>4. Taylor, F.W. (1907). 'On the Art of Cutting Metals.' Transactions of the American Society of Mechanical Engineers, 28, 31-350.</w:t>
      </w:r>
    </w:p>
    <w:p>
      <w:pPr>
        <w:spacing w:after="60" w:line="264" w:lineRule="auto"/>
      </w:pPr>
      <w:r>
        <w:rPr>
          <w:rFonts w:ascii="Calibri" w:hAnsi="Calibri"/>
          <w:color w:val="374151"/>
          <w:sz w:val="19"/>
        </w:rPr>
        <w:t>5. Usui, E., Shirakashi, T. (1984). 'Analytical prediction of cutting tool wear.' Wear, 100(1-3), 129-151.</w:t>
      </w:r>
    </w:p>
    <w:p>
      <w:pPr>
        <w:spacing w:after="60" w:line="264" w:lineRule="auto"/>
      </w:pPr>
      <w:r>
        <w:rPr>
          <w:rFonts w:ascii="Calibri" w:hAnsi="Calibri"/>
          <w:color w:val="374151"/>
          <w:sz w:val="19"/>
        </w:rPr>
        <w:t>6. Loewen, E.G., Shaw, M.C. (1954). 'On the analysis of cutting-tool temperatures.' Transactions of the American Society of Mechanical Engineers, 76(2), 217-231.</w:t>
      </w:r>
    </w:p>
    <w:p>
      <w:pPr>
        <w:spacing w:after="60" w:line="264" w:lineRule="auto"/>
      </w:pPr>
      <w:r>
        <w:rPr>
          <w:rFonts w:ascii="Calibri" w:hAnsi="Calibri"/>
          <w:color w:val="374151"/>
          <w:sz w:val="19"/>
        </w:rPr>
        <w:t>7. Boothroyd, G. (1963). 'Temperatures in orthogonal metal cutting.' Proceedings of the Institution of Mechanical Engineers, 177(1), 789-810.</w:t>
      </w:r>
    </w:p>
    <w:p>
      <w:pPr>
        <w:spacing w:after="60" w:line="264" w:lineRule="auto"/>
      </w:pPr>
      <w:r>
        <w:rPr>
          <w:rFonts w:ascii="Calibri" w:hAnsi="Calibri"/>
          <w:color w:val="374151"/>
          <w:sz w:val="19"/>
        </w:rPr>
        <w:t>8. ISO 3685:1993. 'Tool-life testing with single-point turning tools.' International Organization for Standardization.</w:t>
      </w:r>
    </w:p>
    <w:p>
      <w:pPr>
        <w:spacing w:after="60" w:line="264" w:lineRule="auto"/>
      </w:pPr>
      <w:r>
        <w:rPr>
          <w:rFonts w:ascii="Calibri" w:hAnsi="Calibri"/>
          <w:color w:val="374151"/>
          <w:sz w:val="19"/>
        </w:rPr>
        <w:t>9. ISO 50001:2018. 'Energy management systems — Requirements with guidance for use.' International Organization for Standardization.</w:t>
      </w:r>
    </w:p>
    <w:p>
      <w:pPr>
        <w:spacing w:after="60" w:line="264" w:lineRule="auto"/>
      </w:pPr>
      <w:r>
        <w:rPr>
          <w:rFonts w:ascii="Calibri" w:hAnsi="Calibri"/>
          <w:color w:val="374151"/>
          <w:sz w:val="19"/>
        </w:rPr>
        <w:t>10. Pedregosa, F., et al. (2011). 'Scikit-learn: Machine Learning in Python.' Journal of Machine Learning Research, 12, 2825-2830.</w:t>
      </w:r>
    </w:p>
    <w:p>
      <w:pPr>
        <w:spacing w:after="60" w:line="264" w:lineRule="auto"/>
      </w:pPr>
      <w:r>
        <w:rPr>
          <w:rFonts w:ascii="Calibri" w:hAnsi="Calibri"/>
          <w:color w:val="374151"/>
          <w:sz w:val="19"/>
        </w:rPr>
        <w:t>11. Yoon, H.S., et al. (2014). 'A review of energy consumption in machine tools and manufacturing systems.' Journal of Cleaner Production, 85, 286-301.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