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jc w:val="center"/>
      </w:pPr>
      <w:r>
        <w:rPr>
          <w:rFonts w:ascii="Times New Roman" w:cs="Times New Roman" w:eastAsia="Times New Roman" w:hAnsi="Times New Roman"/>
          <w:b/>
          <w:bCs/>
          <w:sz w:val="48"/>
          <w:szCs w:val="48"/>
        </w:rPr>
        <w:t xml:space="preserve">LLM Consortium for Software Design Refinement:</w:t>
      </w:r>
    </w:p>
    <w:p>
      <w:pPr>
        <w:spacing w:after="300"/>
        <w:jc w:val="center"/>
      </w:pPr>
      <w:r>
        <w:rPr>
          <w:rFonts w:ascii="Times New Roman" w:cs="Times New Roman" w:eastAsia="Times New Roman" w:hAnsi="Times New Roman"/>
          <w:b/>
          <w:bCs/>
          <w:sz w:val="48"/>
          <w:szCs w:val="48"/>
        </w:rPr>
        <w:t xml:space="preserve">A Controlled Experiment on Multi-Agent Collaboration Topologies</w:t>
      </w:r>
    </w:p>
    <w:p>
      <w:pPr>
        <w:spacing w:after="60"/>
        <w:jc w:val="center"/>
      </w:pPr>
      <w:r>
        <w:rPr>
          <w:rFonts w:ascii="Times New Roman" w:cs="Times New Roman" w:eastAsia="Times New Roman" w:hAnsi="Times New Roman"/>
          <w:b/>
          <w:bCs/>
          <w:sz w:val="24"/>
          <w:szCs w:val="24"/>
        </w:rPr>
        <w:t xml:space="preserve">Nagarjuna Kanamarlapudi</w:t>
      </w:r>
    </w:p>
    <w:p>
      <w:pPr>
        <w:spacing w:after="200"/>
        <w:jc w:val="center"/>
      </w:pPr>
      <w:r>
        <w:rPr>
          <w:rFonts w:ascii="Times New Roman" w:cs="Times New Roman" w:eastAsia="Times New Roman" w:hAnsi="Times New Roman"/>
          <w:b/>
          <w:bCs/>
          <w:sz w:val="24"/>
          <w:szCs w:val="24"/>
        </w:rPr>
        <w:t xml:space="preserve">Praveen Kanamarlapudi</w:t>
      </w:r>
    </w:p>
    <w:p>
      <w:pPr>
        <w:spacing w:before="200" w:after="100"/>
        <w:jc w:val="center"/>
      </w:pPr>
      <w:r>
        <w:rPr>
          <w:rFonts w:ascii="Times New Roman" w:cs="Times New Roman" w:eastAsia="Times New Roman" w:hAnsi="Times New Roman"/>
          <w:b/>
          <w:bCs/>
          <w:i/>
          <w:iCs/>
          <w:sz w:val="24"/>
          <w:szCs w:val="24"/>
        </w:rPr>
        <w:t xml:space="preserve">Abstract</w:t>
      </w:r>
    </w:p>
    <w:p>
      <w:pPr>
        <w:spacing w:after="80" w:line="264"/>
        <w:ind w:firstLine="240"/>
      </w:pPr>
      <w:r>
        <w:rPr>
          <w:rFonts w:ascii="Times New Roman" w:cs="Times New Roman" w:eastAsia="Times New Roman" w:hAnsi="Times New Roman"/>
          <w:b w:val="false"/>
          <w:bCs w:val="false"/>
          <w:sz w:val="20"/>
          <w:szCs w:val="20"/>
        </w:rPr>
        <w:t xml:space="preserve">We present a controlled experiment evaluating 12 multi-agent LLM collaboration topologies for software architecture design. Using a 2×2×2 factorial design (Authority × Roles × Dynamics), we conducted 480 experimental runs across 8 design tasks of varying complexity, with 5 repetitions each. Designs were evaluated on a 12-dimensional rubric by an automated evaluator. Our results reveal that </w:t>
      </w:r>
      <w:r>
        <w:rPr>
          <w:rFonts w:ascii="Times New Roman" w:cs="Times New Roman" w:eastAsia="Times New Roman" w:hAnsi="Times New Roman"/>
          <w:b/>
          <w:bCs/>
          <w:i/>
          <w:iCs/>
          <w:sz w:val="20"/>
          <w:szCs w:val="20"/>
        </w:rPr>
        <w:t xml:space="preserve">cross-model review</w:t>
      </w:r>
      <w:r>
        <w:rPr>
          <w:rFonts w:ascii="Times New Roman" w:cs="Times New Roman" w:eastAsia="Times New Roman" w:hAnsi="Times New Roman"/>
          <w:sz w:val="20"/>
          <w:szCs w:val="20"/>
        </w:rPr>
        <w:t xml:space="preserve"> (generating with Gemini 2.5 Pro and reviewing with GPT-OSS 120B) achieves the highest quality (mean 4.484/5.0, Cohen’s d = 0.97 vs. same-model review) through a “complementary blind spots” mechanism. Parallel generation with merge dramatically underperforms expectations (Δ = −0.62 for dialectical merge), suffering from token starvation and the “Frankenstein effect.” Adversarial dynamics provide no statistically significant advantage. A variance decomposition shows topology explains 64% of quality variation overall, but only 14.5% among non-merge variants, suggesting the evaluation rubric may be a stronger lever. Four of six thesis predictions were refuted or only partially supported, indicating LLM collaboration dynamics differ fundamentally from human team dynamics. We provide empirical evidence through verbatim design excerpts demonstrating the mechanisms behind these findings.</w:t>
      </w:r>
    </w:p>
    <w:p>
      <w:pPr>
        <w:spacing w:before="200" w:after="10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i/>
          <w:iCs/>
          <w:sz w:val="20"/>
          <w:szCs w:val="20"/>
        </w:rPr>
        <w:t xml:space="preserve">Large Language Models, Multi-Agent Systems, Software Architecture, Collaboration Topologies, Cross-Model Review, Empirical Software Engineering</w:t>
      </w:r>
    </w:p>
    <w:p>
      <w:pPr>
        <w:sectPr>
          <w:pgSz w:w="12240" w:h="15840" w:orient="portrait"/>
          <w:pgMar w:top="1080" w:right="900" w:bottom="1080" w:left="900" w:header="708" w:footer="708" w:gutter="0"/>
          <w:pgNumType/>
          <w:docGrid w:linePitch="360"/>
        </w:sectPr>
      </w:pPr>
    </w:p>
    <w:p>
      <w:pPr>
        <w:spacing w:before="240" w:after="120"/>
        <w:jc w:val="center"/>
      </w:pPr>
      <w:r>
        <w:rPr>
          <w:rFonts w:ascii="Times New Roman" w:cs="Times New Roman" w:eastAsia="Times New Roman" w:hAnsi="Times New Roman"/>
          <w:b/>
          <w:bCs/>
          <w:sz w:val="20"/>
          <w:szCs w:val="20"/>
        </w:rPr>
        <w:t xml:space="preserve">I. INTRODUCTION</w:t>
      </w:r>
    </w:p>
    <w:p>
      <w:pPr>
        <w:spacing w:after="80" w:line="264"/>
        <w:ind w:firstLine="240"/>
      </w:pPr>
      <w:r>
        <w:rPr>
          <w:rFonts w:ascii="Times New Roman" w:cs="Times New Roman" w:eastAsia="Times New Roman" w:hAnsi="Times New Roman"/>
          <w:sz w:val="20"/>
          <w:szCs w:val="20"/>
        </w:rPr>
        <w:t xml:space="preserve">The application of Large Language Models (LLMs) to software engineering has progressed from code completion to architectural design generation. A natural question arises: can multiple LLM agents, collaborating through structured workflows, produce higher-quality software designs than a single model iterating alone?</w:t>
      </w:r>
    </w:p>
    <w:p>
      <w:pPr>
        <w:spacing w:after="80" w:line="264"/>
        <w:ind w:firstLine="240"/>
      </w:pPr>
      <w:r>
        <w:rPr>
          <w:rFonts w:ascii="Times New Roman" w:cs="Times New Roman" w:eastAsia="Times New Roman" w:hAnsi="Times New Roman"/>
          <w:sz w:val="20"/>
          <w:szCs w:val="20"/>
        </w:rPr>
        <w:t xml:space="preserve">We formalize this question through a 2×2×2 factorial design crossing three dimensions of multi-agent collaboration: Authority (centralized vs. decentralized), Roles (homogeneous vs. specialized), and Dynamics (cooperative vs. adversarial). This yields eight theoretical cells, from which we derive 12 concrete variant configurations spanning the practical design space.</w:t>
      </w:r>
    </w:p>
    <w:p>
      <w:pPr>
        <w:spacing w:after="80" w:line="264"/>
        <w:ind w:firstLine="240"/>
      </w:pPr>
      <w:r>
        <w:rPr>
          <w:rFonts w:ascii="Times New Roman" w:cs="Times New Roman" w:eastAsia="Times New Roman" w:hAnsi="Times New Roman"/>
          <w:sz w:val="20"/>
          <w:szCs w:val="20"/>
        </w:rPr>
        <w:t xml:space="preserve">Our experiment comprises 480 controlled runs—12 variants × 8 design tasks × 5 repetitions—evaluated on a 12-dimensional application design rubric. The tasks range from simple (URL shortener) to complex (collaborative editor, SaaS billing), enabling analysis of how collaboration topology interacts with problem difficulty.</w:t>
      </w:r>
    </w:p>
    <w:p>
      <w:pPr>
        <w:spacing w:after="80" w:line="264"/>
        <w:ind w:firstLine="240"/>
      </w:pPr>
      <w:r>
        <w:rPr>
          <w:rFonts w:ascii="Times New Roman" w:cs="Times New Roman" w:eastAsia="Times New Roman" w:hAnsi="Times New Roman"/>
          <w:sz w:val="20"/>
          <w:szCs w:val="20"/>
        </w:rPr>
        <w:t xml:space="preserve">The central finding is both simple and surprising: the most effective multi-agent workflow is also the simplest—</w:t>
      </w:r>
      <w:r>
        <w:rPr>
          <w:rFonts w:ascii="Times New Roman" w:cs="Times New Roman" w:eastAsia="Times New Roman" w:hAnsi="Times New Roman"/>
          <w:b/>
          <w:bCs/>
          <w:sz w:val="20"/>
          <w:szCs w:val="20"/>
        </w:rPr>
        <w:t xml:space="preserve">generate with one model, review with a different model.</w:t>
      </w:r>
      <w:r>
        <w:rPr>
          <w:rFonts w:ascii="Times New Roman" w:cs="Times New Roman" w:eastAsia="Times New Roman" w:hAnsi="Times New Roman"/>
          <w:sz w:val="20"/>
          <w:szCs w:val="20"/>
        </w:rPr>
        <w:t xml:space="preserve"> This cross-model review (v2b) outperforms every sophisticated multi-agent topology tested, including specialist panels, rotating leadership, structured debate, and parallel generation with merge. The mechanism we identify—complementary blind spots arising from different training distributions—has direct practical implications for LLM-based software engineering workflows.</w:t>
      </w:r>
    </w:p>
    <w:p>
      <w:pPr>
        <w:spacing w:after="80" w:line="264"/>
        <w:ind w:firstLine="240"/>
      </w:pPr>
      <w:r>
        <w:rPr>
          <w:rFonts w:ascii="Times New Roman" w:cs="Times New Roman" w:eastAsia="Times New Roman" w:hAnsi="Times New Roman"/>
          <w:sz w:val="20"/>
          <w:szCs w:val="20"/>
        </w:rPr>
        <w:t xml:space="preserve">This paper makes four contributions: (1) a systematic empirical comparison of 12 multi-agent topologies for software design, (2) identification and empirical validation of the complementary blind spots mechanism in cross-model review, (3) a trace-level autopsy of why parallel merge and adversarial dynamics fail, and (4) verbatim design excerpts providing qualitative evidence for the quantitative findings.</w:t>
      </w:r>
    </w:p>
    <w:p>
      <w:pPr>
        <w:spacing w:before="240" w:after="120"/>
        <w:jc w:val="center"/>
      </w:pPr>
      <w:r>
        <w:rPr>
          <w:rFonts w:ascii="Times New Roman" w:cs="Times New Roman" w:eastAsia="Times New Roman" w:hAnsi="Times New Roman"/>
          <w:b/>
          <w:bCs/>
          <w:sz w:val="20"/>
          <w:szCs w:val="20"/>
        </w:rPr>
        <w:t xml:space="preserve">II. RELATED WORK</w:t>
      </w:r>
    </w:p>
    <w:p>
      <w:pPr>
        <w:spacing w:after="80" w:line="264"/>
        <w:ind w:firstLine="240"/>
      </w:pPr>
      <w:r>
        <w:rPr>
          <w:rFonts w:ascii="Times New Roman" w:cs="Times New Roman" w:eastAsia="Times New Roman" w:hAnsi="Times New Roman"/>
          <w:sz w:val="20"/>
          <w:szCs w:val="20"/>
        </w:rPr>
        <w:t xml:space="preserve">Multi-agent LLM systems have been explored across several domains. ChatDev and MetaGPT demonstrated that role-playing LLM agents can collaborate on software development tasks, though without controlled comparison of topologies. AgentCoder used a generate-test-debug loop for code generation, while MapCoder explored multi-agent planning for competitive programming problems.</w:t>
      </w:r>
    </w:p>
    <w:p>
      <w:pPr>
        <w:spacing w:after="80" w:line="264"/>
        <w:ind w:firstLine="240"/>
      </w:pPr>
      <w:r>
        <w:rPr>
          <w:rFonts w:ascii="Times New Roman" w:cs="Times New Roman" w:eastAsia="Times New Roman" w:hAnsi="Times New Roman"/>
          <w:sz w:val="20"/>
          <w:szCs w:val="20"/>
        </w:rPr>
        <w:t xml:space="preserve">In the broader multi-agent literature, Du et al. showed that LLM debate can improve mathematical reasoning, and Liang et al. demonstrated that diverse agents improve creative writing quality. However, these studies typically compare a single multi-agent configuration against a single-agent baseline, rather than systematically exploring the design space of collaboration topologies.</w:t>
      </w:r>
    </w:p>
    <w:p>
      <w:pPr>
        <w:spacing w:after="80" w:line="264"/>
        <w:ind w:firstLine="240"/>
      </w:pPr>
      <w:r>
        <w:rPr>
          <w:rFonts w:ascii="Times New Roman" w:cs="Times New Roman" w:eastAsia="Times New Roman" w:hAnsi="Times New Roman"/>
          <w:sz w:val="20"/>
          <w:szCs w:val="20"/>
        </w:rPr>
        <w:t xml:space="preserve">Our work differs in three key ways. First, we use a factorial experimental design to isolate the effects of authority, roles, and dynamics independently. Second, we evaluate on a real-world software engineering task (application architecture design) rather than synthetic benchmarks. Third, we provide trace-level analysis of why specific topologies succeed or fail, moving beyond aggregate quality comparisons.</w:t>
      </w:r>
    </w:p>
    <w:p>
      <w:pPr>
        <w:spacing w:after="80" w:line="264"/>
        <w:ind w:firstLine="240"/>
      </w:pPr>
      <w:r>
        <w:rPr>
          <w:rFonts w:ascii="Times New Roman" w:cs="Times New Roman" w:eastAsia="Times New Roman" w:hAnsi="Times New Roman"/>
          <w:sz w:val="20"/>
          <w:szCs w:val="20"/>
        </w:rPr>
        <w:t xml:space="preserve">The cross-model review finding connects to ensemble learning literature, where diversity among base learners is known to improve ensemble performance. Our contribution is showing that this principle extends to LLM-based review: a different model’s training distribution provides epistemic diversity that manifests as complementary blind spots in design review.</w:t>
      </w:r>
    </w:p>
    <w:p>
      <w:pPr>
        <w:spacing w:before="240" w:after="120"/>
        <w:jc w:val="center"/>
      </w:pPr>
      <w:r>
        <w:rPr>
          <w:rFonts w:ascii="Times New Roman" w:cs="Times New Roman" w:eastAsia="Times New Roman" w:hAnsi="Times New Roman"/>
          <w:b/>
          <w:bCs/>
          <w:sz w:val="20"/>
          <w:szCs w:val="20"/>
        </w:rPr>
        <w:t xml:space="preserve">III. METHODOLOGY</w:t>
      </w:r>
    </w:p>
    <w:p>
      <w:pPr>
        <w:spacing w:before="180" w:after="80"/>
      </w:pPr>
      <w:r>
        <w:rPr>
          <w:rFonts w:ascii="Times New Roman" w:cs="Times New Roman" w:eastAsia="Times New Roman" w:hAnsi="Times New Roman"/>
          <w:b/>
          <w:bCs/>
          <w:i/>
          <w:iCs/>
          <w:sz w:val="20"/>
          <w:szCs w:val="20"/>
        </w:rPr>
        <w:t xml:space="preserve">A. Experimental Design</w:t>
      </w:r>
    </w:p>
    <w:p>
      <w:pPr>
        <w:spacing w:after="80" w:line="264"/>
        <w:ind w:firstLine="240"/>
      </w:pPr>
      <w:r>
        <w:rPr>
          <w:rFonts w:ascii="Times New Roman" w:cs="Times New Roman" w:eastAsia="Times New Roman" w:hAnsi="Times New Roman"/>
          <w:sz w:val="20"/>
          <w:szCs w:val="20"/>
        </w:rPr>
        <w:t xml:space="preserve">We adopt a 2×2×2 factorial framework crossing Authority (centralized vs. decentralized), Roles (homogeneous vs. specialized), and Dynamics (cooperative vs. adversarial). This theoretical framework yields eight cells, from which we derive 12 executable variant configurations, including sub-variants that explore specific mechanisms within a cell (e.g., same-model vs. cross-model review within the centralized-homogeneous-cooperative cell).</w:t>
      </w:r>
    </w:p>
    <w:p>
      <w:pPr>
        <w:spacing w:before="180" w:after="80"/>
      </w:pPr>
      <w:r>
        <w:rPr>
          <w:rFonts w:ascii="Times New Roman" w:cs="Times New Roman" w:eastAsia="Times New Roman" w:hAnsi="Times New Roman"/>
          <w:b/>
          <w:bCs/>
          <w:i/>
          <w:iCs/>
          <w:sz w:val="20"/>
          <w:szCs w:val="20"/>
        </w:rPr>
        <w:t xml:space="preserve">B. Variant Configurations</w:t>
      </w:r>
    </w:p>
    <w:p>
      <w:pPr>
        <w:spacing w:after="80" w:line="264"/>
        <w:ind w:firstLine="240"/>
      </w:pPr>
      <w:r>
        <w:rPr>
          <w:rFonts w:ascii="Times New Roman" w:cs="Times New Roman" w:eastAsia="Times New Roman" w:hAnsi="Times New Roman"/>
          <w:sz w:val="20"/>
          <w:szCs w:val="20"/>
        </w:rPr>
        <w:t xml:space="preserve">The 12 variants tested are organized into five families. The Baseline family includes v1 (self-refine with 3-round evaluator loop) and v1a (single-shot, no refinement). The Leader+Reviewer family includes v2a (same-model review), v2b (cross-model review with GPT-OSS 120B as reviewer), and v2c (multi-model panel with two GPT-OSS reviewers). The Parallel Merge family includes v3a (naive merge), v3b (rubric-guided merge), and v3c (dialectical merge). The remaining variants are v4 (adversarial reviewer), v5 (specialist panel with security/scalability/maintainability experts), v6 (rotating leader), and v8 (structured debate with judge).</w:t>
      </w:r>
    </w:p>
    <w:p>
      <w:pPr>
        <w:spacing w:after="80" w:line="264"/>
        <w:ind w:firstLine="240"/>
      </w:pPr>
      <w:r>
        <w:rPr>
          <w:rFonts w:ascii="Times New Roman" w:cs="Times New Roman" w:eastAsia="Times New Roman" w:hAnsi="Times New Roman"/>
          <w:sz w:val="20"/>
          <w:szCs w:val="20"/>
        </w:rPr>
        <w:t xml:space="preserve">Fig. 1 presents the workflow topology for each major variant family, showing how agents pass designs, reviews, and feedback to each other.</w:t>
      </w:r>
    </w:p>
    <w:p>
      <w:pPr>
        <w:spacing w:before="120" w:after="60"/>
        <w:jc w:val="center"/>
      </w:pPr>
      <w:r>
        <w:drawing>
          <wp:inline distT="0" distB="0" distL="0" distR="0">
            <wp:extent cx="4476750" cy="2238375"/>
            <wp:effectExtent t="0" r="0" b="0" l="0"/>
            <wp:docPr id="1" name="fig7_variant_workflows.png" descr="fig7_variant_workflows.png" title="fig7_variant_work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238375"/>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 Workflow topologies for the eight major variant families. Arrows indicate design/review/feedback flow between agents. Colors distinguish roles: blue=generator, orange=reviewer, green=evaluator, purple=merger, red=adversarial/judge, cyan=leader, pink=specialist.</w:t>
      </w:r>
    </w:p>
    <w:p>
      <w:pPr>
        <w:spacing w:before="180" w:after="80"/>
      </w:pPr>
      <w:r>
        <w:rPr>
          <w:rFonts w:ascii="Times New Roman" w:cs="Times New Roman" w:eastAsia="Times New Roman" w:hAnsi="Times New Roman"/>
          <w:b/>
          <w:bCs/>
          <w:i/>
          <w:iCs/>
          <w:sz w:val="20"/>
          <w:szCs w:val="20"/>
        </w:rPr>
        <w:t xml:space="preserve">C. Design Tasks</w:t>
      </w:r>
    </w:p>
    <w:p>
      <w:pPr>
        <w:spacing w:after="80" w:line="264"/>
        <w:ind w:firstLine="240"/>
      </w:pPr>
      <w:r>
        <w:rPr>
          <w:rFonts w:ascii="Times New Roman" w:cs="Times New Roman" w:eastAsia="Times New Roman" w:hAnsi="Times New Roman"/>
          <w:sz w:val="20"/>
          <w:szCs w:val="20"/>
        </w:rPr>
        <w:t xml:space="preserve">Eight software design tasks of varying complexity were used: T1 URL Shortener [Simple], T2 Rate Limiter [Simple], T3 Notification System [Medium], T4 Task Queue [Medium], T5 SaaS Billing [Complex], T6 Collaborative Editor [Complex], T7 Access Control [Complex], and T8 Order Processing [Complex]. Each task requires a complete application architecture design including domain model, module structure, API contracts, error handling, and non-functional considerations.</w:t>
      </w:r>
    </w:p>
    <w:p>
      <w:pPr>
        <w:spacing w:before="180" w:after="80"/>
      </w:pPr>
      <w:r>
        <w:rPr>
          <w:rFonts w:ascii="Times New Roman" w:cs="Times New Roman" w:eastAsia="Times New Roman" w:hAnsi="Times New Roman"/>
          <w:b/>
          <w:bCs/>
          <w:i/>
          <w:iCs/>
          <w:sz w:val="20"/>
          <w:szCs w:val="20"/>
        </w:rPr>
        <w:t xml:space="preserve">D. Evaluation Rubric</w:t>
      </w:r>
    </w:p>
    <w:p>
      <w:pPr>
        <w:spacing w:after="80" w:line="264"/>
        <w:ind w:firstLine="240"/>
      </w:pPr>
      <w:r>
        <w:rPr>
          <w:rFonts w:ascii="Times New Roman" w:cs="Times New Roman" w:eastAsia="Times New Roman" w:hAnsi="Times New Roman"/>
          <w:sz w:val="20"/>
          <w:szCs w:val="20"/>
        </w:rPr>
        <w:t xml:space="preserve">Designs are scored on 12 dimensions: Requirements/Scope Clarity, Domain Model Quality, Module Structure &amp; Dependency Direction, Interface &amp; Contract Design, Data Flow Clarity, Error Handling Rigor, Testability, State Management &amp; Lifecycle, Concurrency Safety, Cross-Cutting Concerns, Design Decision Justification, and Right-Sizing/Simplicity. Each dimension is scored 1–5 by an automated evaluator (GPT-OSS 120B with the rubric in-context). Each design is evaluated 3 times independently, with the median taken to reduce evaluator noise.</w:t>
      </w:r>
    </w:p>
    <w:p>
      <w:pPr>
        <w:spacing w:before="180" w:after="80"/>
      </w:pPr>
      <w:r>
        <w:rPr>
          <w:rFonts w:ascii="Times New Roman" w:cs="Times New Roman" w:eastAsia="Times New Roman" w:hAnsi="Times New Roman"/>
          <w:b/>
          <w:bCs/>
          <w:i/>
          <w:iCs/>
          <w:sz w:val="20"/>
          <w:szCs w:val="20"/>
        </w:rPr>
        <w:t xml:space="preserve">E. Models and Infrastructure</w:t>
      </w:r>
    </w:p>
    <w:p>
      <w:pPr>
        <w:spacing w:after="80" w:line="264"/>
        <w:ind w:firstLine="240"/>
      </w:pPr>
      <w:r>
        <w:rPr>
          <w:rFonts w:ascii="Times New Roman" w:cs="Times New Roman" w:eastAsia="Times New Roman" w:hAnsi="Times New Roman"/>
          <w:sz w:val="20"/>
          <w:szCs w:val="20"/>
        </w:rPr>
        <w:t xml:space="preserve">Design generation uses gemini-2.5-pro via Google Vertex AI. Cross-model review and all evaluations use openai/gpt-oss-120b-maas via the Vertex OpenAI compatibility layer. All 480 runs completed successfully with no failures. The experiment yielded 1,522 evaluations, 1,113 reviews, 1,456 coherence checks, and 2,729 trace records.</w:t>
      </w:r>
    </w:p>
    <w:p>
      <w:pPr>
        <w:spacing w:before="240" w:after="120"/>
        <w:jc w:val="center"/>
      </w:pPr>
      <w:r>
        <w:rPr>
          <w:rFonts w:ascii="Times New Roman" w:cs="Times New Roman" w:eastAsia="Times New Roman" w:hAnsi="Times New Roman"/>
          <w:b/>
          <w:bCs/>
          <w:sz w:val="20"/>
          <w:szCs w:val="20"/>
        </w:rPr>
        <w:t xml:space="preserve">IV. RESULTS</w:t>
      </w:r>
    </w:p>
    <w:p>
      <w:pPr>
        <w:spacing w:before="180" w:after="80"/>
      </w:pPr>
      <w:r>
        <w:rPr>
          <w:rFonts w:ascii="Times New Roman" w:cs="Times New Roman" w:eastAsia="Times New Roman" w:hAnsi="Times New Roman"/>
          <w:b/>
          <w:bCs/>
          <w:i/>
          <w:iCs/>
          <w:sz w:val="20"/>
          <w:szCs w:val="20"/>
        </w:rPr>
        <w:t xml:space="preserve">A. Overall Quality Rankings</w:t>
      </w:r>
    </w:p>
    <w:p>
      <w:pPr>
        <w:spacing w:after="80" w:line="264"/>
        <w:ind w:firstLine="240"/>
      </w:pPr>
      <w:r>
        <w:rPr>
          <w:rFonts w:ascii="Times New Roman" w:cs="Times New Roman" w:eastAsia="Times New Roman" w:hAnsi="Times New Roman"/>
          <w:sz w:val="20"/>
          <w:szCs w:val="20"/>
        </w:rPr>
        <w:t xml:space="preserve">The global Friedman test confirms that variant choice has a statistically significant effect on design quality (χ² = 220.3, p &lt; 10⁻⁴⁰). Quality scores range from 3.10 to 4.90 with a global mean of 4.303 (σ = 0.275). Table I presents the complete variant ranking.</w:t>
      </w:r>
    </w:p>
    <w:p>
      <w:pPr>
        <w:spacing w:before="120" w:after="60"/>
        <w:jc w:val="center"/>
      </w:pPr>
      <w:r>
        <w:rPr>
          <w:rFonts w:ascii="Times New Roman" w:cs="Times New Roman" w:eastAsia="Times New Roman" w:hAnsi="Times New Roman"/>
          <w:b/>
          <w:bCs/>
          <w:sz w:val="18"/>
          <w:szCs w:val="18"/>
        </w:rPr>
        <w:t xml:space="preserve">TABLE I: Overall Quality Rankings by Variant</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600"/>
        <w:gridCol w:w="600"/>
        <w:gridCol w:w="500"/>
        <w:gridCol w:w="500"/>
      </w:tblGrid>
      <w:tr>
        <w:tc>
          <w:tcPr>
            <w:tcW w:type="dxa" w:w="4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w:t>
            </w:r>
          </w:p>
        </w:tc>
        <w:tc>
          <w:tcPr>
            <w:tcW w:type="dxa" w:w="17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Variant</w:t>
            </w:r>
          </w:p>
        </w:tc>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Mean</w:t>
            </w:r>
          </w:p>
        </w:tc>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σ</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Range</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$/run</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v2b cross-model</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4.484</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4.2-4.9</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0.28</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2</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v2c multi-model</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4.474</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0.091</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4.4-4.9</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0.27</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3</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v6 rotating ldr</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4.466</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0.080</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0.54</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4</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specialist</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4.440</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0.123</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4.2-4.9</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0.18</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5</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v8 debate</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4.391</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0.188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3.8-4.8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0.15</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6</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same-model</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4.370</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4.1-4.6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0.42</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7</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self-refine</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4.354</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0.135</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4.1-4.7</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8</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 adversarial</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0.185</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4.0-4.8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0.20</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9</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v1a single-shot</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4.342</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0.146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4.1-4.6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0.08</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10</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rubric mrg</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4.299</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0.209</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4.0-4.9</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11</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naive mrg</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3.944</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0.231</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3.2-4.4</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12</w:t>
            </w:r>
          </w:p>
        </w:tc>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v3c dialectical</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3.734</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0.265</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3.1-4.4</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bl>
    <w:p>
      <w:pPr>
        <w:spacing w:after="80" w:line="264"/>
        <w:ind w:firstLine="240"/>
      </w:pPr>
      <w:r>
        <w:rPr>
          <w:rFonts w:ascii="Times New Roman" w:cs="Times New Roman" w:eastAsia="Times New Roman" w:hAnsi="Times New Roman"/>
          <w:sz w:val="20"/>
          <w:szCs w:val="20"/>
        </w:rPr>
        <w:t xml:space="preserve">A clear three-tier structure emerges. The top tier (v2b, v2c, v6) clusters around 4.47–4.48 with tight variance. The middle tier (v5 through v1a) spans 4.34–4.44. The bottom tier (v3a, v3c) falls dramatically, indicating fundamental flaws in the parallel merge strategy.</w:t>
      </w:r>
    </w:p>
    <w:p>
      <w:pPr>
        <w:spacing w:before="120" w:after="60"/>
        <w:jc w:val="center"/>
      </w:pPr>
      <w:r>
        <w:drawing>
          <wp:inline distT="0" distB="0" distL="0" distR="0">
            <wp:extent cx="4429125" cy="2209800"/>
            <wp:effectExtent t="0" r="0" b="0" l="0"/>
            <wp:docPr id="1" name="fig1_quality_boxplot.png" descr="fig1_quality_boxplot.png" title="fig1_quality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29125" cy="22098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2. Quality score distributions by variant. Boxes show IQR; whiskers extend to 1.5×IQR. The three-tier structure is clearly visible.</w:t>
      </w:r>
    </w:p>
    <w:p>
      <w:pPr>
        <w:spacing w:before="180" w:after="80"/>
      </w:pPr>
      <w:r>
        <w:rPr>
          <w:rFonts w:ascii="Times New Roman" w:cs="Times New Roman" w:eastAsia="Times New Roman" w:hAnsi="Times New Roman"/>
          <w:b/>
          <w:bCs/>
          <w:i/>
          <w:iCs/>
          <w:sz w:val="20"/>
          <w:szCs w:val="20"/>
        </w:rPr>
        <w:t xml:space="preserve">B. Statistical Comparisons</w:t>
      </w:r>
    </w:p>
    <w:p>
      <w:pPr>
        <w:spacing w:after="80" w:line="264"/>
        <w:ind w:firstLine="240"/>
      </w:pPr>
      <w:r>
        <w:rPr>
          <w:rFonts w:ascii="Times New Roman" w:cs="Times New Roman" w:eastAsia="Times New Roman" w:hAnsi="Times New Roman"/>
          <w:sz w:val="20"/>
          <w:szCs w:val="20"/>
        </w:rPr>
        <w:t xml:space="preserve">Table II presents the eight pre-registered pairwise Wilcoxon signed-rank tests with Bonferroni correction (α = 0.00625). The strongest finding is the cross-model review advantage: v2b vs. v2a yields Δ = +0.114 with Cohen’s d = 0.97 (p = 0.0001). The rubric-guided merge dramatically outperforms naive merge (d = 1.61), but even the best merge variant underperforms simpler review-based approaches.</w:t>
      </w:r>
    </w:p>
    <w:p>
      <w:pPr>
        <w:spacing w:before="120" w:after="60"/>
        <w:jc w:val="center"/>
      </w:pPr>
      <w:r>
        <w:rPr>
          <w:rFonts w:ascii="Times New Roman" w:cs="Times New Roman" w:eastAsia="Times New Roman" w:hAnsi="Times New Roman"/>
          <w:b/>
          <w:bCs/>
          <w:sz w:val="18"/>
          <w:szCs w:val="18"/>
        </w:rPr>
        <w:t xml:space="preserve">TABLE II: Pairwise Wilcoxon Signed-Rank Tests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500"/>
        <w:gridCol w:w="600"/>
        <w:gridCol w:w="400"/>
        <w:gridCol w:w="500"/>
        <w:gridCol w:w="1340"/>
      </w:tblGrid>
      <w:tr>
        <w:tc>
          <w:tcPr>
            <w:tcW w:type="dxa" w:w="17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Comparison</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Δ</w:t>
            </w:r>
          </w:p>
        </w:tc>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p</w:t>
            </w:r>
          </w:p>
        </w:tc>
        <w:tc>
          <w:tcPr>
            <w:tcW w:type="dxa" w:w="4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Sig</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d</w:t>
            </w:r>
          </w:p>
        </w:tc>
        <w:tc>
          <w:tcPr>
            <w:tcW w:type="dxa" w:w="13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Interpretation</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vs v2a</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+0.016</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0.536</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0.13</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v2b</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+0.114</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0.97</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Cross-model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v4</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v5</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+0.071</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0.009</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0.59</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Specialist better</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v3b</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+0.355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1.61</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Rubric merge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v3c</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-0.210</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-0.85</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Dialectical worse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vs v8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+0.092</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0.031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Debate marginal</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vs v6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0.115</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0.24</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bl>
    <w:p>
      <w:pPr>
        <w:spacing w:before="180" w:after="80"/>
      </w:pPr>
      <w:r>
        <w:rPr>
          <w:rFonts w:ascii="Times New Roman" w:cs="Times New Roman" w:eastAsia="Times New Roman" w:hAnsi="Times New Roman"/>
          <w:b/>
          <w:bCs/>
          <w:i/>
          <w:iCs/>
          <w:sz w:val="20"/>
          <w:szCs w:val="20"/>
        </w:rPr>
        <w:t xml:space="preserve">C. Complexity Interaction</w:t>
      </w:r>
    </w:p>
    <w:p>
      <w:pPr>
        <w:spacing w:after="80" w:line="264"/>
        <w:ind w:firstLine="240"/>
      </w:pPr>
      <w:r>
        <w:rPr>
          <w:rFonts w:ascii="Times New Roman" w:cs="Times New Roman" w:eastAsia="Times New Roman" w:hAnsi="Times New Roman"/>
          <w:sz w:val="20"/>
          <w:szCs w:val="20"/>
        </w:rPr>
        <w:t xml:space="preserve">Contrary to the thesis prediction that parallel merge would excel on complex tasks, the top-performing variants maintain their advantage consistently across all complexity levels. Stratified Wilcoxon tests for v1 vs. v2b show: Simple tasks Δ = +0.214 (d = 1.48), Medium Δ = +0.087 (d = 1.10), Complex Δ = +0.111 (d = 0.81). Cross-model review provides the largest lift on simple tasks—the opposite of the thesis prediction.</w:t>
      </w:r>
    </w:p>
    <w:p>
      <w:pPr>
        <w:spacing w:before="120" w:after="60"/>
        <w:jc w:val="center"/>
      </w:pPr>
      <w:r>
        <w:drawing>
          <wp:inline distT="0" distB="0" distL="0" distR="0">
            <wp:extent cx="4429125" cy="1905000"/>
            <wp:effectExtent t="0" r="0" b="0" l="0"/>
            <wp:docPr id="1" name="fig2_quality_by_complexity.png" descr="fig2_quality_by_complexity.png" title="fig2_quality_by_complex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29125" cy="1905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3. Quality distribution by variant and task complexity (Simple, Medium, Complex). Top-tier variants are consistent; merge variants degrade further on complex tasks.</w:t>
      </w:r>
    </w:p>
    <w:p>
      <w:pPr>
        <w:spacing w:before="180" w:after="80"/>
      </w:pPr>
      <w:r>
        <w:rPr>
          <w:rFonts w:ascii="Times New Roman" w:cs="Times New Roman" w:eastAsia="Times New Roman" w:hAnsi="Times New Roman"/>
          <w:b/>
          <w:bCs/>
          <w:i/>
          <w:iCs/>
          <w:sz w:val="20"/>
          <w:szCs w:val="20"/>
        </w:rPr>
        <w:t xml:space="preserve">D. Per-Dimension Analysis</w:t>
      </w:r>
    </w:p>
    <w:p>
      <w:pPr>
        <w:spacing w:after="80" w:line="264"/>
        <w:ind w:firstLine="240"/>
      </w:pPr>
      <w:r>
        <w:rPr>
          <w:rFonts w:ascii="Times New Roman" w:cs="Times New Roman" w:eastAsia="Times New Roman" w:hAnsi="Times New Roman"/>
          <w:sz w:val="20"/>
          <w:szCs w:val="20"/>
        </w:rPr>
        <w:t xml:space="preserve">Cross-model review (v2b) achieves broad improvement across 10 of 12 dimensions, with the largest gains in Concurrency Safety (+0.33), Data Flow Clarity (+0.22), Error Handling (+0.21), and Interface Design (+0.20). These are dimensions where designs can appear superficially complete but harbor subtle gaps.</w:t>
      </w:r>
    </w:p>
    <w:p>
      <w:pPr>
        <w:spacing w:after="80" w:line="264"/>
        <w:ind w:firstLine="240"/>
      </w:pPr>
      <w:r>
        <w:rPr>
          <w:rFonts w:ascii="Times New Roman" w:cs="Times New Roman" w:eastAsia="Times New Roman" w:hAnsi="Times New Roman"/>
          <w:sz w:val="20"/>
          <w:szCs w:val="20"/>
        </w:rPr>
        <w:t xml:space="preserve">The parallel merge variants show pronounced losses in Domain Model Quality (-0.18 to -0.35) and Module Structure (-0.10 to -0.23), confirming the Frankenstein effect: merging independently generated designs degrades structural coherence.</w:t>
      </w:r>
    </w:p>
    <w:p>
      <w:pPr>
        <w:spacing w:before="120" w:after="60"/>
        <w:jc w:val="center"/>
      </w:pPr>
      <w:r>
        <w:drawing>
          <wp:inline distT="0" distB="0" distL="0" distR="0">
            <wp:extent cx="4429125" cy="2209800"/>
            <wp:effectExtent t="0" r="0" b="0" l="0"/>
            <wp:docPr id="1" name="fig3_dimension_heatmap.png" descr="fig3_dimension_heatmap.png" title="fig3_dimens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29125" cy="22098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4. Per-dimension quality deltas vs. v1 baseline. Green indicates improvement; red indicates degradation. Cross-model review (v2b) shows broad gains; merge variants (v3) show broad losses.</w:t>
      </w:r>
    </w:p>
    <w:p>
      <w:pPr>
        <w:spacing w:before="180" w:after="80"/>
      </w:pPr>
      <w:r>
        <w:rPr>
          <w:rFonts w:ascii="Times New Roman" w:cs="Times New Roman" w:eastAsia="Times New Roman" w:hAnsi="Times New Roman"/>
          <w:b/>
          <w:bCs/>
          <w:i/>
          <w:iCs/>
          <w:sz w:val="20"/>
          <w:szCs w:val="20"/>
        </w:rPr>
        <w:t xml:space="preserve">E. Cost-Quality Trade-offs</w:t>
      </w:r>
    </w:p>
    <w:p>
      <w:pPr>
        <w:spacing w:after="80" w:line="264"/>
        <w:ind w:firstLine="240"/>
      </w:pPr>
      <w:r>
        <w:rPr>
          <w:rFonts w:ascii="Times New Roman" w:cs="Times New Roman" w:eastAsia="Times New Roman" w:hAnsi="Times New Roman"/>
          <w:sz w:val="20"/>
          <w:szCs w:val="20"/>
        </w:rPr>
        <w:t xml:space="preserve">The Pareto frontier reveals distinct operating points. Single-shot v1a ($0.08/run) provides acceptable quality (4.34). Structured debate v8 ($0.15/run) offers the best cost-efficiency among multi-agent variants. Cross-model review v2b ($0.28/run) achieves peak quality at 3.3× the cost of v8. Rotating leader v6 ($0.54/run) achieves near-top quality with lowest variance but sits below the Pareto frontier due to its 216K tokens/run.</w:t>
      </w:r>
    </w:p>
    <w:p>
      <w:pPr>
        <w:spacing w:before="120" w:after="60"/>
        <w:jc w:val="center"/>
      </w:pPr>
      <w:r>
        <w:drawing>
          <wp:inline distT="0" distB="0" distL="0" distR="0">
            <wp:extent cx="4095750" cy="2762250"/>
            <wp:effectExtent t="0" r="0" b="0" l="0"/>
            <wp:docPr id="1" name="fig4_pareto_frontier.png" descr="fig4_pareto_frontier.png" title="fig4_pareto_fronti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762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5. Cost-quality Pareto frontier. Points above the frontier are dominated. v2b and v5 define the efficiency frontier for high-quality designs.</w:t>
      </w:r>
    </w:p>
    <w:p>
      <w:pPr>
        <w:spacing w:before="180" w:after="80"/>
      </w:pPr>
      <w:r>
        <w:rPr>
          <w:rFonts w:ascii="Times New Roman" w:cs="Times New Roman" w:eastAsia="Times New Roman" w:hAnsi="Times New Roman"/>
          <w:b/>
          <w:bCs/>
          <w:i/>
          <w:iCs/>
          <w:sz w:val="20"/>
          <w:szCs w:val="20"/>
        </w:rPr>
        <w:t xml:space="preserve">F. Reliability and Evaluator Agreement</w:t>
      </w:r>
    </w:p>
    <w:p>
      <w:pPr>
        <w:spacing w:after="80" w:line="264"/>
        <w:ind w:firstLine="240"/>
      </w:pPr>
      <w:r>
        <w:rPr>
          <w:rFonts w:ascii="Times New Roman" w:cs="Times New Roman" w:eastAsia="Times New Roman" w:hAnsi="Times New Roman"/>
          <w:sz w:val="20"/>
          <w:szCs w:val="20"/>
        </w:rPr>
        <w:t xml:space="preserve">Rotating leader v6 achieves the lowest variance (σ = 0.080), making it the most consistent variant. Merge variants show highest variance (σ = 0.231–0.265), being both poor on average and unpredictable. Evaluator agreement (Krippendorff’s α) ranges from 0.42 (top-tier variants) to 0.81 (merge variants). Lower agreement on high-quality designs reflects genuine difficulty in distinguishing “good” from “great,” while high agreement on poor designs reflects easy identification of flaws.</w:t>
      </w:r>
    </w:p>
    <w:p>
      <w:pPr>
        <w:spacing w:before="180" w:after="80"/>
      </w:pPr>
      <w:r>
        <w:rPr>
          <w:rFonts w:ascii="Times New Roman" w:cs="Times New Roman" w:eastAsia="Times New Roman" w:hAnsi="Times New Roman"/>
          <w:b/>
          <w:bCs/>
          <w:i/>
          <w:iCs/>
          <w:sz w:val="20"/>
          <w:szCs w:val="20"/>
        </w:rPr>
        <w:t xml:space="preserve">G. Thesis Prediction Validation</w:t>
      </w:r>
    </w:p>
    <w:p>
      <w:pPr>
        <w:spacing w:after="80" w:line="264"/>
        <w:ind w:firstLine="240"/>
      </w:pPr>
      <w:r>
        <w:rPr>
          <w:rFonts w:ascii="Times New Roman" w:cs="Times New Roman" w:eastAsia="Times New Roman" w:hAnsi="Times New Roman"/>
          <w:sz w:val="20"/>
          <w:szCs w:val="20"/>
        </w:rPr>
        <w:t xml:space="preserve">Four of six thesis predictions were refuted or only partially supported. P1 (parallel merge achieves highest peak on complex tasks) was refuted—merge variants underperform the baseline. P2 (adversarial has highest variance) was partially supported—v4 ranks 5th in variance. P4 (specialists outperform v2 by 10–15%) was partially supported—v5 outperforms v2a by only 1.6%. P5 (baseline matches consortia on simple tasks) was refuted—9 of 11 variants beat v1 on simple tasks.</w:t>
      </w:r>
    </w:p>
    <w:p>
      <w:pPr>
        <w:spacing w:before="240" w:after="120"/>
        <w:jc w:val="center"/>
      </w:pPr>
      <w:r>
        <w:rPr>
          <w:rFonts w:ascii="Times New Roman" w:cs="Times New Roman" w:eastAsia="Times New Roman" w:hAnsi="Times New Roman"/>
          <w:b/>
          <w:bCs/>
          <w:sz w:val="20"/>
          <w:szCs w:val="20"/>
        </w:rPr>
        <w:t xml:space="preserve">V. ANALYSIS: WHY CROSS-MODEL REVIEW WORKS</w:t>
      </w:r>
    </w:p>
    <w:p>
      <w:pPr>
        <w:spacing w:after="80" w:line="264"/>
        <w:ind w:firstLine="240"/>
      </w:pPr>
      <w:r>
        <w:rPr>
          <w:rFonts w:ascii="Times New Roman" w:cs="Times New Roman" w:eastAsia="Times New Roman" w:hAnsi="Times New Roman"/>
          <w:sz w:val="20"/>
          <w:szCs w:val="20"/>
        </w:rPr>
        <w:t xml:space="preserve">The cross-model review advantage (Δ = 0.114, d = 0.97) is the paper’s strongest finding. We analyze the mechanism through four empirical findings drawn from trace-level data.</w:t>
      </w:r>
    </w:p>
    <w:p>
      <w:pPr>
        <w:spacing w:before="120" w:after="60"/>
        <w:jc w:val="center"/>
      </w:pPr>
      <w:r>
        <w:drawing>
          <wp:inline distT="0" distB="0" distL="0" distR="0">
            <wp:extent cx="4429125" cy="1847850"/>
            <wp:effectExtent t="0" r="0" b="0" l="0"/>
            <wp:docPr id="1" name="fig9_crossmodel_mechanism.png" descr="fig9_crossmodel_mechanism.png" title="fig9_crossmodel_mechani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29125" cy="18478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6. The complementary blind spots mechanism. Different training distributions create different systematic gaps, enabling broader coverage through cross-model review.</w:t>
      </w:r>
    </w:p>
    <w:p>
      <w:pPr>
        <w:spacing w:after="80" w:line="264"/>
        <w:ind w:firstLine="240"/>
      </w:pPr>
      <w:r>
        <w:rPr>
          <w:rFonts w:ascii="Times New Roman" w:cs="Times New Roman" w:eastAsia="Times New Roman" w:hAnsi="Times New Roman"/>
          <w:b/>
          <w:bCs/>
          <w:sz w:val="20"/>
          <w:szCs w:val="20"/>
        </w:rPr>
        <w:t xml:space="preserve">Finding 1: The cross-model reviewer writes longer, more structured reviews. </w:t>
      </w:r>
      <w:r>
        <w:rPr>
          <w:rFonts w:ascii="Times New Roman" w:cs="Times New Roman" w:eastAsia="Times New Roman" w:hAnsi="Times New Roman"/>
          <w:sz w:val="20"/>
          <w:szCs w:val="20"/>
        </w:rPr>
        <w:t xml:space="preserve">GPT-OSS 120B produces reviews averaging 4,557 tokens vs. Gemini’s 3,242 (40% more). Critically, the cross-model reviewer leads with a gaps-first TL;DR and dimension-by-dimension scorecard, while the same-model reviewer leads with praise:</w:t>
      </w:r>
    </w:p>
    <w:p>
      <w:pPr>
        <w:spacing w:before="40" w:after="40" w:line="240"/>
        <w:ind w:left="360" w:right="360"/>
      </w:pPr>
      <w:r>
        <w:rPr>
          <w:rFonts w:ascii="Times New Roman" w:cs="Times New Roman" w:eastAsia="Times New Roman" w:hAnsi="Times New Roman"/>
          <w:i/>
          <w:iCs/>
          <w:sz w:val="18"/>
          <w:szCs w:val="18"/>
        </w:rPr>
        <w:t xml:space="preserve">“Same-model opens: ‘Excellent. This is a comprehensive and well-structured application design document.’”</w:t>
      </w:r>
    </w:p>
    <w:p>
      <w:pPr>
        <w:spacing w:before="40" w:after="40" w:line="240"/>
        <w:ind w:left="360" w:right="360"/>
      </w:pPr>
      <w:r>
        <w:rPr>
          <w:rFonts w:ascii="Times New Roman" w:cs="Times New Roman" w:eastAsia="Times New Roman" w:hAnsi="Times New Roman"/>
          <w:i/>
          <w:iCs/>
          <w:sz w:val="18"/>
          <w:szCs w:val="18"/>
        </w:rPr>
        <w:t xml:space="preserve">“Cross-model opens: ‘TL;DR: The main gaps are missing domain events, insufficient data-lineage detail, limited security discussion, and concurrency-safety details that need tightening.’”</w:t>
      </w:r>
    </w:p>
    <w:p>
      <w:pPr>
        <w:spacing w:after="80" w:line="264"/>
        <w:ind w:firstLine="240"/>
      </w:pPr>
      <w:r>
        <w:rPr>
          <w:rFonts w:ascii="Times New Roman" w:cs="Times New Roman" w:eastAsia="Times New Roman" w:hAnsi="Times New Roman"/>
          <w:b/>
          <w:bCs/>
          <w:sz w:val="20"/>
          <w:szCs w:val="20"/>
        </w:rPr>
        <w:t xml:space="preserve">Finding 2: The advantage spans 10 of 12 dimensions. </w:t>
      </w:r>
      <w:r>
        <w:rPr>
          <w:rFonts w:ascii="Times New Roman" w:cs="Times New Roman" w:eastAsia="Times New Roman" w:hAnsi="Times New Roman"/>
          <w:sz w:val="20"/>
          <w:szCs w:val="20"/>
        </w:rPr>
        <w:t xml:space="preserve">The largest gains are in Concurrency Safety (+0.33), Data Flow (+0.22), Error Handling (+0.21), and Interface Design (+0.20)—dimensions where superficially complete designs can harbor subtle gaps that same-model review misses.</w:t>
      </w:r>
    </w:p>
    <w:p>
      <w:pPr>
        <w:spacing w:after="80" w:line="264"/>
        <w:ind w:firstLine="240"/>
      </w:pPr>
      <w:r>
        <w:rPr>
          <w:rFonts w:ascii="Times New Roman" w:cs="Times New Roman" w:eastAsia="Times New Roman" w:hAnsi="Times New Roman"/>
          <w:b/>
          <w:bCs/>
          <w:sz w:val="20"/>
          <w:szCs w:val="20"/>
        </w:rPr>
        <w:t xml:space="preserve">Finding 3: The advantage is consistent across all 8 tasks. </w:t>
      </w:r>
      <w:r>
        <w:rPr>
          <w:rFonts w:ascii="Times New Roman" w:cs="Times New Roman" w:eastAsia="Times New Roman" w:hAnsi="Times New Roman"/>
          <w:sz w:val="20"/>
          <w:szCs w:val="20"/>
        </w:rPr>
        <w:t xml:space="preserve">v2b outperforms v2a on every task, with win rates of 60–100% across 5 repetitions. The strongest advantage appears on T8 Order Processing (100% win rate) and T7 Access Control (80%).</w:t>
      </w:r>
    </w:p>
    <w:p>
      <w:pPr>
        <w:spacing w:after="80" w:line="264"/>
        <w:ind w:firstLine="240"/>
      </w:pPr>
      <w:r>
        <w:rPr>
          <w:rFonts w:ascii="Times New Roman" w:cs="Times New Roman" w:eastAsia="Times New Roman" w:hAnsi="Times New Roman"/>
          <w:b/>
          <w:bCs/>
          <w:sz w:val="20"/>
          <w:szCs w:val="20"/>
        </w:rPr>
        <w:t xml:space="preserve">Finding 4: Adding more reviewers from the same family doesn’t help. </w:t>
      </w:r>
      <w:r>
        <w:rPr>
          <w:rFonts w:ascii="Times New Roman" w:cs="Times New Roman" w:eastAsia="Times New Roman" w:hAnsi="Times New Roman"/>
          <w:sz w:val="20"/>
          <w:szCs w:val="20"/>
        </w:rPr>
        <w:t xml:space="preserve">v2c (two GPT-OSS reviewers) scores 4.474 vs. v2b’s 4.484 (p = 0.42). The cross-model benefit saturates at a single reviewer—the simplest possible multi-model workflow.</w:t>
      </w:r>
    </w:p>
    <w:p>
      <w:pPr>
        <w:spacing w:after="80" w:line="264"/>
        <w:ind w:firstLine="240"/>
      </w:pPr>
      <w:r>
        <w:rPr>
          <w:rFonts w:ascii="Times New Roman" w:cs="Times New Roman" w:eastAsia="Times New Roman" w:hAnsi="Times New Roman"/>
          <w:b/>
          <w:bCs/>
          <w:sz w:val="20"/>
          <w:szCs w:val="20"/>
        </w:rPr>
        <w:t xml:space="preserve">Interpretation. </w:t>
      </w:r>
      <w:r>
        <w:rPr>
          <w:rFonts w:ascii="Times New Roman" w:cs="Times New Roman" w:eastAsia="Times New Roman" w:hAnsi="Times New Roman"/>
          <w:sz w:val="20"/>
          <w:szCs w:val="20"/>
        </w:rPr>
        <w:t xml:space="preserve">The mechanism is best described as complementary blind spots. Gemini has systematic tendencies—e.g., underspecifying concurrency safety or treating error handling generically. When it reviews its own work, it has the same blind spots. GPT-OSS, with different training data and optimization objectives, catches what Gemini misses. This is not about one model being “better”—it’s about the combination being more thorough.</w:t>
      </w:r>
    </w:p>
    <w:p>
      <w:pPr>
        <w:spacing w:before="240" w:after="120"/>
        <w:jc w:val="center"/>
      </w:pPr>
      <w:r>
        <w:rPr>
          <w:rFonts w:ascii="Times New Roman" w:cs="Times New Roman" w:eastAsia="Times New Roman" w:hAnsi="Times New Roman"/>
          <w:b/>
          <w:bCs/>
          <w:sz w:val="20"/>
          <w:szCs w:val="20"/>
        </w:rPr>
        <w:t xml:space="preserve">VI. EMPIRICAL EVIDENCE: DESIGN EXCERPTS</w:t>
      </w:r>
    </w:p>
    <w:p>
      <w:pPr>
        <w:spacing w:after="80" w:line="264"/>
        <w:ind w:firstLine="240"/>
      </w:pPr>
      <w:r>
        <w:rPr>
          <w:rFonts w:ascii="Times New Roman" w:cs="Times New Roman" w:eastAsia="Times New Roman" w:hAnsi="Times New Roman"/>
          <w:sz w:val="20"/>
          <w:szCs w:val="20"/>
        </w:rPr>
        <w:t xml:space="preserve">To ground the statistical findings in concrete evidence, we present verbatim excerpts from designs produced during the experiment. All comparisons are drawn from the same task (T8: Order Processing, Repetition 1) for apples-to-apples comparison.</w:t>
      </w:r>
    </w:p>
    <w:p>
      <w:pPr>
        <w:spacing w:before="180" w:after="80"/>
      </w:pPr>
      <w:r>
        <w:rPr>
          <w:rFonts w:ascii="Times New Roman" w:cs="Times New Roman" w:eastAsia="Times New Roman" w:hAnsi="Times New Roman"/>
          <w:b/>
          <w:bCs/>
          <w:i/>
          <w:iCs/>
          <w:sz w:val="20"/>
          <w:szCs w:val="20"/>
        </w:rPr>
        <w:t xml:space="preserve">A. Error Handling: Same-Model vs. Cross-Model</w:t>
      </w:r>
    </w:p>
    <w:p>
      <w:pPr>
        <w:spacing w:after="80" w:line="264"/>
        <w:ind w:firstLine="240"/>
      </w:pPr>
      <w:r>
        <w:rPr>
          <w:rFonts w:ascii="Times New Roman" w:cs="Times New Roman" w:eastAsia="Times New Roman" w:hAnsi="Times New Roman"/>
          <w:sz w:val="20"/>
          <w:szCs w:val="20"/>
        </w:rPr>
        <w:t xml:space="preserve">The v2a (Gemini-reviews-Gemini) design categorizes errors into three buckets with generic resilience patterns:</w:t>
      </w:r>
    </w:p>
    <w:p>
      <w:pPr>
        <w:spacing w:before="40" w:after="40" w:line="240"/>
        <w:ind w:left="360" w:right="360"/>
      </w:pPr>
      <w:r>
        <w:rPr>
          <w:rFonts w:ascii="Times New Roman" w:cs="Times New Roman" w:eastAsia="Times New Roman" w:hAnsi="Times New Roman"/>
          <w:i/>
          <w:iCs/>
          <w:sz w:val="18"/>
          <w:szCs w:val="18"/>
        </w:rPr>
        <w:t xml:space="preserve">“Business Error: Invalid user input, violates a business rule. [...] Resilience: Circuit Breaker—All inter-service gRPC calls wrapped in circuit breaker. Idempotency—All POST/PUT RPCs support idempotency_key.”</w:t>
      </w:r>
    </w:p>
    <w:p>
      <w:pPr>
        <w:spacing w:after="80" w:line="264"/>
        <w:ind w:firstLine="240"/>
      </w:pPr>
      <w:r>
        <w:rPr>
          <w:rFonts w:ascii="Times New Roman" w:cs="Times New Roman" w:eastAsia="Times New Roman" w:hAnsi="Times New Roman"/>
          <w:sz w:val="20"/>
          <w:szCs w:val="20"/>
        </w:rPr>
        <w:t xml:space="preserve">The v2b (GPT-OSS-reviews-Gemini) design has five error categories—critically splitting Authentication from Authorization—with parameterized resilience patterns:</w:t>
      </w:r>
    </w:p>
    <w:p>
      <w:pPr>
        <w:spacing w:before="40" w:after="40" w:line="240"/>
        <w:ind w:left="360" w:right="360"/>
      </w:pPr>
      <w:r>
        <w:rPr>
          <w:rFonts w:ascii="Times New Roman" w:cs="Times New Roman" w:eastAsia="Times New Roman" w:hAnsi="Times New Roman"/>
          <w:i/>
          <w:iCs/>
          <w:sz w:val="18"/>
          <w:szCs w:val="18"/>
        </w:rPr>
        <w:t xml:space="preserve">“Circuit Breakers: failure rate &gt;50% over 1-minute window, breaker opens for 30 seconds. Fallbacks: if new model version fails to load, fall back to last known good version and raise alert.”</w:t>
      </w:r>
    </w:p>
    <w:p>
      <w:pPr>
        <w:spacing w:after="80" w:line="264"/>
        <w:ind w:firstLine="240"/>
      </w:pPr>
      <w:r>
        <w:rPr>
          <w:rFonts w:ascii="Times New Roman" w:cs="Times New Roman" w:eastAsia="Times New Roman" w:hAnsi="Times New Roman"/>
          <w:sz w:val="20"/>
          <w:szCs w:val="20"/>
        </w:rPr>
        <w:t xml:space="preserve">The cross-model reviewer pushed the design from “we’ll use circuit breakers” to “circuit breakers with these specific parameters.” Total section grew from 1,474 to 1,657 characters with substantially more actionable content.</w:t>
      </w:r>
    </w:p>
    <w:p>
      <w:pPr>
        <w:spacing w:before="180" w:after="80"/>
      </w:pPr>
      <w:r>
        <w:rPr>
          <w:rFonts w:ascii="Times New Roman" w:cs="Times New Roman" w:eastAsia="Times New Roman" w:hAnsi="Times New Roman"/>
          <w:b/>
          <w:bCs/>
          <w:i/>
          <w:iCs/>
          <w:sz w:val="20"/>
          <w:szCs w:val="20"/>
        </w:rPr>
        <w:t xml:space="preserve">B. Concurrency Safety: Generic vs. Concrete</w:t>
      </w:r>
    </w:p>
    <w:p>
      <w:pPr>
        <w:spacing w:after="80" w:line="264"/>
        <w:ind w:firstLine="240"/>
      </w:pPr>
      <w:r>
        <w:rPr>
          <w:rFonts w:ascii="Times New Roman" w:cs="Times New Roman" w:eastAsia="Times New Roman" w:hAnsi="Times New Roman"/>
          <w:sz w:val="20"/>
          <w:szCs w:val="20"/>
        </w:rPr>
        <w:t xml:space="preserve">Concurrency Safety showed the largest cross-model advantage (+0.33). The v2a design offers generic guidance (“optimistic locking as defined in Section 6”), while v2b specifies exact Kubernetes primitives:</w:t>
      </w:r>
    </w:p>
    <w:p>
      <w:pPr>
        <w:spacing w:before="40" w:after="40" w:line="240"/>
        <w:ind w:left="360" w:right="360"/>
      </w:pPr>
      <w:r>
        <w:rPr>
          <w:rFonts w:ascii="Times New Roman" w:cs="Times New Roman" w:eastAsia="Times New Roman" w:hAnsi="Times New Roman"/>
          <w:i/>
          <w:iCs/>
          <w:sz w:val="18"/>
          <w:szCs w:val="18"/>
        </w:rPr>
        <w:t xml:space="preserve">“GPU Scheduler Concurrency: Leader election via Kubernetes Lease object. Distributed lock: gpu-scheduler-lock, TTL 30 seconds. If operator crashes, lease expires.”</w:t>
      </w:r>
    </w:p>
    <w:p>
      <w:pPr>
        <w:spacing w:after="80" w:line="264"/>
        <w:ind w:firstLine="240"/>
      </w:pPr>
      <w:r>
        <w:rPr>
          <w:rFonts w:ascii="Times New Roman" w:cs="Times New Roman" w:eastAsia="Times New Roman" w:hAnsi="Times New Roman"/>
          <w:sz w:val="20"/>
          <w:szCs w:val="20"/>
        </w:rPr>
        <w:t xml:space="preserve">Every mechanism in the cross-model version is concrete and implementable—specific lock type, TTL value, and failure mode behavior.</w:t>
      </w:r>
    </w:p>
    <w:p>
      <w:pPr>
        <w:spacing w:before="180" w:after="80"/>
      </w:pPr>
      <w:r>
        <w:rPr>
          <w:rFonts w:ascii="Times New Roman" w:cs="Times New Roman" w:eastAsia="Times New Roman" w:hAnsi="Times New Roman"/>
          <w:b/>
          <w:bCs/>
          <w:i/>
          <w:iCs/>
          <w:sz w:val="20"/>
          <w:szCs w:val="20"/>
        </w:rPr>
        <w:t xml:space="preserve">C. The Merge Frankenstein Effect</w:t>
      </w:r>
    </w:p>
    <w:p>
      <w:pPr>
        <w:spacing w:after="80" w:line="264"/>
        <w:ind w:firstLine="240"/>
      </w:pPr>
      <w:r>
        <w:rPr>
          <w:rFonts w:ascii="Times New Roman" w:cs="Times New Roman" w:eastAsia="Times New Roman" w:hAnsi="Times New Roman"/>
          <w:sz w:val="20"/>
          <w:szCs w:val="20"/>
        </w:rPr>
        <w:t xml:space="preserve">The v1 baseline produces a structured error taxonomy with four categories, a Result&lt;T,E&gt; pattern, and 1,304 characters of actionable content. After naive merge (v3a), the entire error handling section is eliminated, replaced by a generic “Scalability, Resilience &amp; Security” grab-bag. In dialectical merge (v3c), the design compresses three 33,000-character inputs into 20,420 characters—shorter than any single input.</w:t>
      </w:r>
    </w:p>
    <w:p>
      <w:pPr>
        <w:spacing w:after="80" w:line="264"/>
        <w:ind w:firstLine="240"/>
      </w:pPr>
      <w:r>
        <w:rPr>
          <w:rFonts w:ascii="Times New Roman" w:cs="Times New Roman" w:eastAsia="Times New Roman" w:hAnsi="Times New Roman"/>
          <w:sz w:val="20"/>
          <w:szCs w:val="20"/>
        </w:rPr>
        <w:t xml:space="preserve">The merger agent is token-starved: ~25,000 input tokens produce only 4,200–5,200 output tokens. Dedicated sections become bullet-point summaries, structured taxonomies vanish, and cross-cutting coherence is destroyed. This explains why Testability drops -1.21 and Domain Model drops -1.00.</w:t>
      </w:r>
    </w:p>
    <w:p>
      <w:pPr>
        <w:spacing w:before="180" w:after="80"/>
      </w:pPr>
      <w:r>
        <w:rPr>
          <w:rFonts w:ascii="Times New Roman" w:cs="Times New Roman" w:eastAsia="Times New Roman" w:hAnsi="Times New Roman"/>
          <w:b/>
          <w:bCs/>
          <w:i/>
          <w:iCs/>
          <w:sz w:val="20"/>
          <w:szCs w:val="20"/>
        </w:rPr>
        <w:t xml:space="preserve">D. Adversarial Patching Mechanism</w:t>
      </w:r>
    </w:p>
    <w:p>
      <w:pPr>
        <w:spacing w:after="80" w:line="264"/>
        <w:ind w:firstLine="240"/>
      </w:pPr>
      <w:r>
        <w:rPr>
          <w:rFonts w:ascii="Times New Roman" w:cs="Times New Roman" w:eastAsia="Times New Roman" w:hAnsi="Times New Roman"/>
          <w:sz w:val="20"/>
          <w:szCs w:val="20"/>
        </w:rPr>
        <w:t xml:space="preserve">The adversarial reviewer (v4) rejects 77% of rounds. The initial design (round 0) has a 6-category error taxonomy spanning 2,274 characters. After two rejections, this shrinks to 683 characters with three domain-specific patches and a hand-wave to “previously defined” categories. The overall document shrinks from 29,137 to 19,845 characters.</w:t>
      </w:r>
    </w:p>
    <w:p>
      <w:pPr>
        <w:spacing w:after="80" w:line="264"/>
        <w:ind w:firstLine="240"/>
      </w:pPr>
      <w:r>
        <w:rPr>
          <w:rFonts w:ascii="Times New Roman" w:cs="Times New Roman" w:eastAsia="Times New Roman" w:hAnsi="Times New Roman"/>
          <w:sz w:val="20"/>
          <w:szCs w:val="20"/>
        </w:rPr>
        <w:t xml:space="preserve">The LLM responds to rejection by locally patching the cited deficiencies while compressing everything else to stay within output token limits. Quality drops from 4.48 (round 0) to 4.28 (round 1) before partially recovering to 4.34 (round 2). The adversarial process causes local patches, not structural rethinking.</w:t>
      </w:r>
    </w:p>
    <w:p>
      <w:pPr>
        <w:spacing w:before="180" w:after="80"/>
      </w:pPr>
      <w:r>
        <w:rPr>
          <w:rFonts w:ascii="Times New Roman" w:cs="Times New Roman" w:eastAsia="Times New Roman" w:hAnsi="Times New Roman"/>
          <w:b/>
          <w:bCs/>
          <w:i/>
          <w:iCs/>
          <w:sz w:val="20"/>
          <w:szCs w:val="20"/>
        </w:rPr>
        <w:t xml:space="preserve">E. Domain Model: DDD vs. Infrastructure Diagram</w:t>
      </w:r>
    </w:p>
    <w:p>
      <w:pPr>
        <w:spacing w:after="80" w:line="264"/>
        <w:ind w:firstLine="240"/>
      </w:pPr>
      <w:r>
        <w:rPr>
          <w:rFonts w:ascii="Times New Roman" w:cs="Times New Roman" w:eastAsia="Times New Roman" w:hAnsi="Times New Roman"/>
          <w:sz w:val="20"/>
          <w:szCs w:val="20"/>
        </w:rPr>
        <w:t xml:space="preserve">The baseline v1 domain model for T7 (Access Control) uses DDD principles with rich aggregates (Policy, Role as aggregate roots with named invariants like hasCycle()), value objects (Principal, Resource, AuthorizationContext), and a Mermaid class diagram. Total: 2,709 characters.</w:t>
      </w:r>
    </w:p>
    <w:p>
      <w:pPr>
        <w:spacing w:after="80" w:line="264"/>
        <w:ind w:firstLine="240"/>
      </w:pPr>
      <w:r>
        <w:rPr>
          <w:rFonts w:ascii="Times New Roman" w:cs="Times New Roman" w:eastAsia="Times New Roman" w:hAnsi="Times New Roman"/>
          <w:sz w:val="20"/>
          <w:szCs w:val="20"/>
        </w:rPr>
        <w:t xml:space="preserve">The dialectical merge v3c replaces this with a Mermaid graph showing infrastructure components (PDP Sidecar, PAP, NATS, Kafka). No aggregates, no value objects, no invariants, no business rules. The merger retreated to the abstraction level where all three input designs agreed: infrastructure topology. This is a skeleton without organs—explaining the 1.25-point drop in Domain Model Quality.</w:t>
      </w:r>
    </w:p>
    <w:p>
      <w:pPr>
        <w:spacing w:before="240" w:after="120"/>
        <w:jc w:val="center"/>
      </w:pPr>
      <w:r>
        <w:rPr>
          <w:rFonts w:ascii="Times New Roman" w:cs="Times New Roman" w:eastAsia="Times New Roman" w:hAnsi="Times New Roman"/>
          <w:b/>
          <w:bCs/>
          <w:sz w:val="20"/>
          <w:szCs w:val="20"/>
        </w:rPr>
        <w:t xml:space="preserve">VII. DISCUSSION</w:t>
      </w:r>
    </w:p>
    <w:p>
      <w:pPr>
        <w:spacing w:before="180" w:after="80"/>
      </w:pPr>
      <w:r>
        <w:rPr>
          <w:rFonts w:ascii="Times New Roman" w:cs="Times New Roman" w:eastAsia="Times New Roman" w:hAnsi="Times New Roman"/>
          <w:b/>
          <w:bCs/>
          <w:i/>
          <w:iCs/>
          <w:sz w:val="20"/>
          <w:szCs w:val="20"/>
        </w:rPr>
        <w:t xml:space="preserve">A. Topology vs. Rubric</w:t>
      </w:r>
    </w:p>
    <w:p>
      <w:pPr>
        <w:spacing w:after="80" w:line="264"/>
        <w:ind w:firstLine="240"/>
      </w:pPr>
      <w:r>
        <w:rPr>
          <w:rFonts w:ascii="Times New Roman" w:cs="Times New Roman" w:eastAsia="Times New Roman" w:hAnsi="Times New Roman"/>
          <w:sz w:val="20"/>
          <w:szCs w:val="20"/>
        </w:rPr>
        <w:t xml:space="preserve">A two-way ANOVA decomposition reveals that variant choice (η² = 0.64) is the dominant factor when all 12 variants are included. However, removing the three v3 merge variants (arguably a broken implementation) reduces the topology effect to η² = 0.145. Among the nine non-merge variants, topology choice matters modestly, leaving 85% of variance unexplained and suggesting the evaluation rubric may be a stronger lever for quality improvement.</w:t>
      </w:r>
    </w:p>
    <w:p>
      <w:pPr>
        <w:spacing w:before="180" w:after="80"/>
      </w:pPr>
      <w:r>
        <w:rPr>
          <w:rFonts w:ascii="Times New Roman" w:cs="Times New Roman" w:eastAsia="Times New Roman" w:hAnsi="Times New Roman"/>
          <w:b/>
          <w:bCs/>
          <w:i/>
          <w:iCs/>
          <w:sz w:val="20"/>
          <w:szCs w:val="20"/>
        </w:rPr>
        <w:t xml:space="preserve">B. Design Space Mapping</w:t>
      </w:r>
    </w:p>
    <w:p>
      <w:pPr>
        <w:spacing w:after="80" w:line="264"/>
        <w:ind w:firstLine="240"/>
      </w:pPr>
      <w:r>
        <w:rPr>
          <w:rFonts w:ascii="Times New Roman" w:cs="Times New Roman" w:eastAsia="Times New Roman" w:hAnsi="Times New Roman"/>
          <w:sz w:val="20"/>
          <w:szCs w:val="20"/>
        </w:rPr>
        <w:t xml:space="preserve">Fig. 7 maps the experimental variants onto the 2×2×2 design space with quality tier annotations. The top-performing region is centralized authority with cross-model feedback (v2b, v2c), while the decentralized-specialized cell (v6) achieves comparable quality through role rotation. The decentralized-homogeneous cell (v3) consistently underperforms.</w:t>
      </w:r>
    </w:p>
    <w:p>
      <w:pPr>
        <w:spacing w:before="120" w:after="60"/>
        <w:jc w:val="center"/>
      </w:pPr>
      <w:r>
        <w:drawing>
          <wp:inline distT="0" distB="0" distL="0" distR="0">
            <wp:extent cx="3714750" cy="2600325"/>
            <wp:effectExtent t="0" r="0" b="0" l="0"/>
            <wp:docPr id="1" name="fig8_design_space.png" descr="fig8_design_space.png" title="fig8_design_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714750" cy="2600325"/>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7. Experimental variants mapped onto the 2×2×2 design space. Circle colors indicate variant family; text annotations show quality tier placement.</w:t>
      </w:r>
    </w:p>
    <w:p>
      <w:pPr>
        <w:spacing w:before="180" w:after="80"/>
      </w:pPr>
      <w:r>
        <w:rPr>
          <w:rFonts w:ascii="Times New Roman" w:cs="Times New Roman" w:eastAsia="Times New Roman" w:hAnsi="Times New Roman"/>
          <w:b/>
          <w:bCs/>
          <w:i/>
          <w:iCs/>
          <w:sz w:val="20"/>
          <w:szCs w:val="20"/>
        </w:rPr>
        <w:t xml:space="preserve">C. Practical Recommendations</w:t>
      </w:r>
    </w:p>
    <w:p>
      <w:pPr>
        <w:spacing w:after="80" w:line="264"/>
        <w:ind w:firstLine="240"/>
      </w:pPr>
      <w:r>
        <w:rPr>
          <w:rFonts w:ascii="Times New Roman" w:cs="Times New Roman" w:eastAsia="Times New Roman" w:hAnsi="Times New Roman"/>
          <w:sz w:val="20"/>
          <w:szCs w:val="20"/>
        </w:rPr>
        <w:t xml:space="preserve">For practitioners deploying LLM-based design workflows, we recommend: (1) For maximum quality, use cross-model review (v2b)—generate with one model family, review with another. (2) For maximum consistency, use rotating leader (v6), accepting higher cost. (3) For cost-efficiency, use structured debate (v8) at $0.15/run. (4) Never use parallel merge without fundamental improvements to the merge strategy. (5) A single cross-model reviewer suffices—panel review adds cost without quality gains.</w:t>
      </w:r>
    </w:p>
    <w:p>
      <w:pPr>
        <w:spacing w:before="180" w:after="80"/>
      </w:pPr>
      <w:r>
        <w:rPr>
          <w:rFonts w:ascii="Times New Roman" w:cs="Times New Roman" w:eastAsia="Times New Roman" w:hAnsi="Times New Roman"/>
          <w:b/>
          <w:bCs/>
          <w:i/>
          <w:iCs/>
          <w:sz w:val="20"/>
          <w:szCs w:val="20"/>
        </w:rPr>
        <w:t xml:space="preserve">D. Limitations</w:t>
      </w:r>
    </w:p>
    <w:p>
      <w:pPr>
        <w:spacing w:after="80" w:line="264"/>
        <w:ind w:firstLine="240"/>
      </w:pPr>
      <w:r>
        <w:rPr>
          <w:rFonts w:ascii="Times New Roman" w:cs="Times New Roman" w:eastAsia="Times New Roman" w:hAnsi="Times New Roman"/>
          <w:sz w:val="20"/>
          <w:szCs w:val="20"/>
        </w:rPr>
        <w:t xml:space="preserve">This study has several limitations. First, v7 (Consensus Convergence) was not executed, leaving one cell of the design space unexplored. Second, evaluator agreement (α = 0.42–0.81) is below the target of 0.70 for several top-tier variants, suggesting the rubric may lack precision for fine-grained quality distinctions. Third, only two model families were tested; the complementary blind spots mechanism may be specific to the Gemini/GPT-OSS pairing. Fourth, a single frozen rubric was used, preventing direct comparison of rubric vs. topology effects.</w:t>
      </w:r>
    </w:p>
    <w:p>
      <w:pPr>
        <w:spacing w:before="240" w:after="120"/>
        <w:jc w:val="center"/>
      </w:pPr>
      <w:r>
        <w:rPr>
          <w:rFonts w:ascii="Times New Roman" w:cs="Times New Roman" w:eastAsia="Times New Roman" w:hAnsi="Times New Roman"/>
          <w:b/>
          <w:bCs/>
          <w:sz w:val="20"/>
          <w:szCs w:val="20"/>
        </w:rPr>
        <w:t xml:space="preserve">VIII. CONCLUSION</w:t>
      </w:r>
    </w:p>
    <w:p>
      <w:pPr>
        <w:spacing w:after="80" w:line="264"/>
        <w:ind w:firstLine="240"/>
      </w:pPr>
      <w:r>
        <w:rPr>
          <w:rFonts w:ascii="Times New Roman" w:cs="Times New Roman" w:eastAsia="Times New Roman" w:hAnsi="Times New Roman"/>
          <w:sz w:val="20"/>
          <w:szCs w:val="20"/>
        </w:rPr>
        <w:t xml:space="preserve">Multi-LLM collaboration improves software design quality, but the mechanism that matters most is not the collaboration topology—it is epistemic diversity in the feedback loop. Cross-model review achieves the highest quality through a complementary blind spots mechanism: a different model’s training distribution acts as a fundamentally different set of eyes. This is a deeply practical finding: the simplest possible multi-model workflow outperforms every sophisticated multi-agent topology tested.</w:t>
      </w:r>
    </w:p>
    <w:p>
      <w:pPr>
        <w:spacing w:after="80" w:line="264"/>
        <w:ind w:firstLine="240"/>
      </w:pPr>
      <w:r>
        <w:rPr>
          <w:rFonts w:ascii="Times New Roman" w:cs="Times New Roman" w:eastAsia="Times New Roman" w:hAnsi="Times New Roman"/>
          <w:sz w:val="20"/>
          <w:szCs w:val="20"/>
        </w:rPr>
        <w:t xml:space="preserve">The dramatic failure of parallel merge and the null result from adversarial dynamics demonstrate that LLM collaboration dynamics differ fundamentally from human team dynamics. Parallel generation assumes architectural diversity, but LLMs trained on similar data converge on similar patterns. Adversarial pressure causes local patching rather than structural rethinking. These findings suggest that future work should focus on maximizing epistemic diversity (through model selection and rubric design) rather than workflow complexity.</w:t>
      </w:r>
    </w:p>
    <w:p>
      <w:pPr>
        <w:spacing w:after="80" w:line="264"/>
        <w:ind w:firstLine="240"/>
      </w:pPr>
      <w:r>
        <w:rPr>
          <w:rFonts w:ascii="Times New Roman" w:cs="Times New Roman" w:eastAsia="Times New Roman" w:hAnsi="Times New Roman"/>
          <w:sz w:val="20"/>
          <w:szCs w:val="20"/>
        </w:rPr>
        <w:t xml:space="preserve">Future work should: (1) execute v7 to complete the design space, (2) vary rubric quality while holding topology constant, (3) test additional model pairings to validate the generality of complementary blind spots, (4) address the merge pipeline’s token starvation, and (5) investigate whether prompting strategies can induce structural rethinking under adversarial pressure.</w:t>
      </w:r>
    </w:p>
    <w:p>
      <w:pPr>
        <w:spacing w:after="80" w:line="264"/>
        <w:ind w:firstLine="240"/>
      </w:pPr>
      <w:r>
        <w:rPr>
          <w:rFonts w:ascii="Times New Roman" w:cs="Times New Roman" w:eastAsia="Times New Roman" w:hAnsi="Times New Roman"/>
          <w:sz w:val="20"/>
          <w:szCs w:val="20"/>
        </w:rPr>
        <w:t xml:space="preserve">Two particularly promising directions emerge from our findings on epistemic diversity and model complementarity:</w:t>
      </w:r>
    </w:p>
    <w:p>
      <w:pPr>
        <w:spacing w:after="80" w:line="264"/>
        <w:ind w:firstLine="240"/>
      </w:pPr>
      <w:r>
        <w:rPr>
          <w:rFonts w:ascii="Times New Roman" w:cs="Times New Roman" w:eastAsia="Times New Roman" w:hAnsi="Times New Roman"/>
          <w:b/>
          <w:bCs/>
          <w:sz w:val="20"/>
          <w:szCs w:val="20"/>
        </w:rPr>
        <w:t xml:space="preserve">Hierarchical consortium of smaller models under SOTA leadership. </w:t>
      </w:r>
      <w:r>
        <w:rPr>
          <w:rFonts w:ascii="Times New Roman" w:cs="Times New Roman" w:eastAsia="Times New Roman" w:hAnsi="Times New Roman"/>
          <w:sz w:val="20"/>
          <w:szCs w:val="20"/>
        </w:rPr>
        <w:t xml:space="preserve">Our results show that the cross-model advantage saturates at a single reviewer from a different model family. A natural extension is to test whether a state-of-the-art frontier model (e.g., Gemini 2.5 Pro, GPT-4.1, Claude Opus) can serve as an orchestrating leader—decomposing design tasks, assigning sub-problems, and synthesizing outputs—while a consortium of smaller, cost-efficient models (e.g., Gemini Flash, GPT-4o-mini, Haiku) execute the sub-tasks. This “SOTA-as-leader” topology would test whether the frontier model’s stronger architectural reasoning can compensate for smaller models’ limitations through intelligent task decomposition, potentially achieving near-SOTA quality at a fraction of the cost. The v6 rotating leader topology (lowest variance in our experiment) provides a natural starting point: replace homogeneous agents with a heterogeneous mix where the SOTA model holds a privileged leadership role.</w:t>
      </w:r>
    </w:p>
    <w:p>
      <w:pPr>
        <w:spacing w:after="80" w:line="264"/>
        <w:ind w:firstLine="240"/>
      </w:pPr>
      <w:r>
        <w:rPr>
          <w:rFonts w:ascii="Times New Roman" w:cs="Times New Roman" w:eastAsia="Times New Roman" w:hAnsi="Times New Roman"/>
          <w:b/>
          <w:bCs/>
          <w:sz w:val="20"/>
          <w:szCs w:val="20"/>
        </w:rPr>
        <w:t xml:space="preserve">Teacher-student consortium with knowledge distillation. </w:t>
      </w:r>
      <w:r>
        <w:rPr>
          <w:rFonts w:ascii="Times New Roman" w:cs="Times New Roman" w:eastAsia="Times New Roman" w:hAnsi="Times New Roman"/>
          <w:sz w:val="20"/>
          <w:szCs w:val="20"/>
        </w:rPr>
        <w:t xml:space="preserve">A complementary approach frames the multi-agent collaboration as an online learning problem: a SOTA “teacher” model first generates high-quality reference designs and rubric-grounded critiques, which are then used to guide a consortium of smaller “student” models through in-context learning or fine-tuning. This extends the complementary blind spots mechanism—rather than relying on pre-existing distributional differences between models, the teacher actively shapes the students’ review capabilities by demonstrating what good critique looks like on domain-specific tasks. The hypothesis is that teacher-guided students would develop more calibrated review skills than either (a) the same small models reviewing without guidance, or (b) simply using the teacher model directly (which our v2b results suggest may not be necessary if the students can learn the teacher’s critique patterns). This could democratize the cross-model advantage, making high-quality LLM consortium workflows accessible with smaller, locally-deployable models.</w:t>
      </w:r>
    </w:p>
    <w:p>
      <w:pPr>
        <w:spacing w:after="80" w:line="264"/>
        <w:ind w:firstLine="240"/>
      </w:pPr>
      <w:r>
        <w:rPr>
          <w:rFonts w:ascii="Times New Roman" w:cs="Times New Roman" w:eastAsia="Times New Roman" w:hAnsi="Times New Roman"/>
          <w:b/>
          <w:bCs/>
          <w:sz w:val="20"/>
          <w:szCs w:val="20"/>
        </w:rPr>
        <w:t xml:space="preserve">Extending the consortium paradigm from design to code generation. </w:t>
      </w:r>
      <w:r>
        <w:rPr>
          <w:rFonts w:ascii="Times New Roman" w:cs="Times New Roman" w:eastAsia="Times New Roman" w:hAnsi="Times New Roman"/>
          <w:sz w:val="20"/>
          <w:szCs w:val="20"/>
        </w:rPr>
        <w:t xml:space="preserve">This experiment evaluated LLM collaboration on architectural design—a high-level, document-oriented task. A critical next step is to extend the consortium framework to the full software development lifecycle, including code generation, testing, debugging, and refactoring. Code presents fundamentally different evaluation dynamics: designs are judged by rubric-based heuristics, but code can be verified by execution—tests pass or fail, builds compile or break, benchmarks produce measurable performance. This opens several compelling research directions. </w:t>
      </w:r>
      <w:r>
        <w:rPr>
          <w:rFonts w:ascii="Times New Roman" w:cs="Times New Roman" w:eastAsia="Times New Roman" w:hAnsi="Times New Roman"/>
          <w:b/>
          <w:bCs/>
          <w:sz w:val="20"/>
          <w:szCs w:val="20"/>
        </w:rPr>
        <w:t xml:space="preserve">First, </w:t>
      </w:r>
      <w:r>
        <w:rPr>
          <w:rFonts w:ascii="Times New Roman" w:cs="Times New Roman" w:eastAsia="Times New Roman" w:hAnsi="Times New Roman"/>
          <w:sz w:val="20"/>
          <w:szCs w:val="20"/>
        </w:rPr>
        <w:t xml:space="preserve">a consortium where one agent generates code, a cross-model agent reviews it, and a third agent writes and executes tests could create a closed-loop quality signal that our design experiment lacked. The complementary blind spots mechanism may be even more powerful for code: different models exhibit different bug patterns, and a cross-model code reviewer may catch classes of defects (race conditions, off-by-one errors, security vulnerabilities) that same-model review systematically misses. </w:t>
      </w:r>
      <w:r>
        <w:rPr>
          <w:rFonts w:ascii="Times New Roman" w:cs="Times New Roman" w:eastAsia="Times New Roman" w:hAnsi="Times New Roman"/>
          <w:b/>
          <w:bCs/>
          <w:sz w:val="20"/>
          <w:szCs w:val="20"/>
        </w:rPr>
        <w:t xml:space="preserve">Second, </w:t>
      </w:r>
      <w:r>
        <w:rPr>
          <w:rFonts w:ascii="Times New Roman" w:cs="Times New Roman" w:eastAsia="Times New Roman" w:hAnsi="Times New Roman"/>
          <w:sz w:val="20"/>
          <w:szCs w:val="20"/>
        </w:rPr>
        <w:t xml:space="preserve">the parallel merge strategy that failed for design may succeed for code if the merge is constrained to the module level—different agents implementing different modules against a shared interface contract, avoiding the Frankenstein effect by enforcing architectural boundaries at merge time. </w:t>
      </w:r>
      <w:r>
        <w:rPr>
          <w:rFonts w:ascii="Times New Roman" w:cs="Times New Roman" w:eastAsia="Times New Roman" w:hAnsi="Times New Roman"/>
          <w:b/>
          <w:bCs/>
          <w:sz w:val="20"/>
          <w:szCs w:val="20"/>
        </w:rPr>
        <w:t xml:space="preserve">Third, </w:t>
      </w:r>
      <w:r>
        <w:rPr>
          <w:rFonts w:ascii="Times New Roman" w:cs="Times New Roman" w:eastAsia="Times New Roman" w:hAnsi="Times New Roman"/>
          <w:sz w:val="20"/>
          <w:szCs w:val="20"/>
        </w:rPr>
        <w:t xml:space="preserve">the adversarial topology that produced null results for design could become highly effective for code through adversarial test generation: an adversarial agent whose job is to write failing tests rather than rejecting designs, forcing the coding agent to handle edge cases it would otherwise ignore. Unlike design review (where rejection causes local patching), adversarial testing provides concrete, executable counterexamples that demand structural fixes. </w:t>
      </w:r>
      <w:r>
        <w:rPr>
          <w:rFonts w:ascii="Times New Roman" w:cs="Times New Roman" w:eastAsia="Times New Roman" w:hAnsi="Times New Roman"/>
          <w:b/>
          <w:bCs/>
          <w:sz w:val="20"/>
          <w:szCs w:val="20"/>
        </w:rPr>
        <w:t xml:space="preserve">Fourth, </w:t>
      </w:r>
      <w:r>
        <w:rPr>
          <w:rFonts w:ascii="Times New Roman" w:cs="Times New Roman" w:eastAsia="Times New Roman" w:hAnsi="Times New Roman"/>
          <w:sz w:val="20"/>
          <w:szCs w:val="20"/>
        </w:rPr>
        <w:t xml:space="preserve">a design-to-code pipeline could bridge our current findings with implementation: the consortium first produces an optimized architecture design (using v2b cross-model review), then hands it to a coding consortium that implements the design module by module, with the original design serving as both specification and evaluation rubric. This end-to-end workflow would test whether the quality gains we observe at the design level propagate to implemented code.</w:t>
      </w:r>
    </w:p>
    <w:p>
      <w:pPr>
        <w:spacing w:after="80" w:line="264"/>
        <w:ind w:firstLine="240"/>
      </w:pPr>
      <w:r>
        <w:rPr>
          <w:rFonts w:ascii="Times New Roman" w:cs="Times New Roman" w:eastAsia="Times New Roman" w:hAnsi="Times New Roman"/>
          <w:b/>
          <w:bCs/>
          <w:sz w:val="20"/>
          <w:szCs w:val="20"/>
        </w:rPr>
        <w:t xml:space="preserve">Cross-domain generalization of the consortium framework. </w:t>
      </w:r>
      <w:r>
        <w:rPr>
          <w:rFonts w:ascii="Times New Roman" w:cs="Times New Roman" w:eastAsia="Times New Roman" w:hAnsi="Times New Roman"/>
          <w:sz w:val="20"/>
          <w:szCs w:val="20"/>
        </w:rPr>
        <w:t xml:space="preserve">This experiment tests software architectural design—a structured, document-oriented task. The consortium framework and the complementary blind spots mechanism may generalize to other LLM-heavy domains where quality depends on multi-faceted expert judgment: legal contract drafting (where different model families may catch different classes of ambiguity or risk), scientific protocol design (where methodological blind spots could be surfaced by cross-model review), medical documentation (where completeness and accuracy are critical), and business strategy documents. Testing cross-domain generalization would determine whether the 2×2×2 framework is a general theory of LLM collaboration or specific to software engineering’s structured nature.</w:t>
      </w:r>
    </w:p>
    <w:p>
      <w:pPr>
        <w:spacing w:after="80" w:line="264"/>
        <w:ind w:firstLine="240"/>
      </w:pPr>
      <w:r>
        <w:rPr>
          <w:rFonts w:ascii="Times New Roman" w:cs="Times New Roman" w:eastAsia="Times New Roman" w:hAnsi="Times New Roman"/>
          <w:b/>
          <w:bCs/>
          <w:sz w:val="20"/>
          <w:szCs w:val="20"/>
        </w:rPr>
        <w:t xml:space="preserve">Dynamic topology selection via meta-agent. </w:t>
      </w:r>
      <w:r>
        <w:rPr>
          <w:rFonts w:ascii="Times New Roman" w:cs="Times New Roman" w:eastAsia="Times New Roman" w:hAnsi="Times New Roman"/>
          <w:sz w:val="20"/>
          <w:szCs w:val="20"/>
        </w:rPr>
        <w:t xml:space="preserve">Our data shows that different topologies excel in different conditions: v5 specialist peaks on medium-complexity tasks (4.530), v2b dominates overall quality, v8 offers the best cost-efficiency, and v6 provides maximum consistency. A meta-agent that examines the incoming task—its complexity, domain, quality requirements, and cost constraints—and dynamically selects the optimal topology per-task could outperform any single fixed topology. The task-variant heatmap (Fig. 6) already contains the training signal for such a selector. This would transform the consortium from a static workflow choice into an adaptive system that routes tasks to the topology best suited for each problem.</w:t>
      </w:r>
    </w:p>
    <w:p>
      <w:pPr>
        <w:spacing w:after="80" w:line="264"/>
        <w:ind w:firstLine="240"/>
      </w:pPr>
      <w:r>
        <w:rPr>
          <w:rFonts w:ascii="Times New Roman" w:cs="Times New Roman" w:eastAsia="Times New Roman" w:hAnsi="Times New Roman"/>
          <w:b/>
          <w:bCs/>
          <w:sz w:val="20"/>
          <w:szCs w:val="20"/>
        </w:rPr>
        <w:t xml:space="preserve">Rubric ablation study. </w:t>
      </w:r>
      <w:r>
        <w:rPr>
          <w:rFonts w:ascii="Times New Roman" w:cs="Times New Roman" w:eastAsia="Times New Roman" w:hAnsi="Times New Roman"/>
          <w:sz w:val="20"/>
          <w:szCs w:val="20"/>
        </w:rPr>
        <w:t xml:space="preserve">Our variance decomposition reveals that topology explains only 14.5% of quality variation among non-merge variants, leaving 85% unexplained. The evaluation rubric is the leading candidate for this unexplained variance. A controlled experiment holding topology constant (e.g., v2b cross-model review) while varying rubric quality across three levels—minimal (3 dimensions), standard (12 dimensions, as used here), and expert-tuned (20+ dimensions with sub-criteria)—would directly answer Research Question 4 and determine whether rubric engineering or topology engineering deserves more investment in practice.</w:t>
      </w:r>
    </w:p>
    <w:p>
      <w:pPr>
        <w:spacing w:after="80" w:line="264"/>
        <w:ind w:firstLine="240"/>
      </w:pPr>
      <w:r>
        <w:rPr>
          <w:rFonts w:ascii="Times New Roman" w:cs="Times New Roman" w:eastAsia="Times New Roman" w:hAnsi="Times New Roman"/>
          <w:b/>
          <w:bCs/>
          <w:sz w:val="20"/>
          <w:szCs w:val="20"/>
        </w:rPr>
        <w:t xml:space="preserve">Iterative cross-model review. </w:t>
      </w:r>
      <w:r>
        <w:rPr>
          <w:rFonts w:ascii="Times New Roman" w:cs="Times New Roman" w:eastAsia="Times New Roman" w:hAnsi="Times New Roman"/>
          <w:sz w:val="20"/>
          <w:szCs w:val="20"/>
        </w:rPr>
        <w:t xml:space="preserve">The v2b topology performs a single cross-model review round. Our v1 self-refine baseline shows diminishing returns with same-model iteration (quality plateaus after round 2). However, alternating cross-model review—Gemini generates, GPT-OSS reviews, Gemini revises, GPT-OSS reviews again—may not exhibit the same saturation because each review round introduces a genuinely different perspective. Testing 2–3 rounds of alternating cross-model review would determine whether the complementary blind spots mechanism compounds across iterations or saturates at a single round (as the v2c panel result tentatively suggests).</w:t>
      </w:r>
    </w:p>
    <w:p>
      <w:pPr>
        <w:spacing w:after="80" w:line="264"/>
        <w:ind w:firstLine="240"/>
      </w:pPr>
      <w:r>
        <w:rPr>
          <w:rFonts w:ascii="Times New Roman" w:cs="Times New Roman" w:eastAsia="Times New Roman" w:hAnsi="Times New Roman"/>
          <w:b/>
          <w:bCs/>
          <w:sz w:val="20"/>
          <w:szCs w:val="20"/>
        </w:rPr>
        <w:t xml:space="preserve">Human expert validation of automated evaluator. </w:t>
      </w:r>
      <w:r>
        <w:rPr>
          <w:rFonts w:ascii="Times New Roman" w:cs="Times New Roman" w:eastAsia="Times New Roman" w:hAnsi="Times New Roman"/>
          <w:sz w:val="20"/>
          <w:szCs w:val="20"/>
        </w:rPr>
        <w:t xml:space="preserve">The automated evaluator (GPT-OSS 120B with rubric in-context) achieves Krippendorff’s α = 0.42–0.81 across variants. While this is sufficient for ranking separation between tiers, validating the automated scores against human expert judgment would substantially strengthen the empirical claims. We propose having 2–3 senior software engineers independently score a stratified sample of 50 designs (spanning top, middle, and bottom quality tiers) on the same 12-dimension rubric, then computing human-automated correlation and inter-rater reliability. If the automated evaluator agrees with human experts on tier placement and relative ranking, it validates the entire experimental framework; if it diverges systematically, the divergence patterns themselves become a contribution to understanding LLM-as-evaluator reliability.</w:t>
      </w:r>
    </w:p>
    <w:p>
      <w:pPr>
        <w:spacing w:before="240" w:after="120"/>
        <w:jc w:val="center"/>
      </w:pPr>
      <w:r>
        <w:rPr>
          <w:rFonts w:ascii="Times New Roman" w:cs="Times New Roman" w:eastAsia="Times New Roman" w:hAnsi="Times New Roman"/>
          <w:b/>
          <w:bCs/>
          <w:sz w:val="20"/>
          <w:szCs w:val="20"/>
        </w:rPr>
        <w:t xml:space="preserve">IX. CROSS-EVALUATOR VALIDATION: CLAUDE OPUS 4.6 VS GPT-OSS 120B</w:t>
      </w:r>
    </w:p>
    <w:p>
      <w:pPr>
        <w:spacing w:after="80" w:line="264"/>
        <w:ind w:firstLine="240"/>
      </w:pPr>
      <w:r>
        <w:rPr>
          <w:rFonts w:ascii="Times New Roman" w:cs="Times New Roman" w:eastAsia="Times New Roman" w:hAnsi="Times New Roman"/>
          <w:sz w:val="20"/>
          <w:szCs w:val="20"/>
        </w:rPr>
        <w:t xml:space="preserve">To validate the GPT-OSS 120B automated evaluator, we conducted a complete independent re-evaluation of all 480 final designs using Claude Opus 4.6 as an alternative evaluator with the same 12-dimension rubric. This is not a sample—it is a full replication of the evaluation pipeline with a different model family.</w:t>
      </w:r>
    </w:p>
    <w:p>
      <w:pPr>
        <w:spacing w:before="180" w:after="80"/>
      </w:pPr>
      <w:r>
        <w:rPr>
          <w:rFonts w:ascii="Times New Roman" w:cs="Times New Roman" w:eastAsia="Times New Roman" w:hAnsi="Times New Roman"/>
          <w:b/>
          <w:bCs/>
          <w:i/>
          <w:iCs/>
          <w:sz w:val="20"/>
          <w:szCs w:val="20"/>
        </w:rPr>
        <w:t xml:space="preserve">A. Overall Agreement</w:t>
      </w:r>
    </w:p>
    <w:p>
      <w:pPr>
        <w:spacing w:after="80" w:line="264"/>
        <w:ind w:firstLine="240"/>
      </w:pPr>
      <w:r>
        <w:rPr>
          <w:rFonts w:ascii="Times New Roman" w:cs="Times New Roman" w:eastAsia="Times New Roman" w:hAnsi="Times New Roman"/>
          <w:sz w:val="20"/>
          <w:szCs w:val="20"/>
        </w:rPr>
        <w:t xml:space="preserve">Across all 480 paired comparisons, the two evaluators show strong positive correlation (Pearson r = 0.753, p = 5.1 × 10⁻⁸⁹; Spearman ρ = 0.592, p = 9.7 × 10⁻⁴⁷). Opus scores slightly lower on average (mean 4.219 vs. GPT-OSS 4.304, Δ = −0.085), with wider variance (σ = 0.438 vs. 0.275). The Wilcoxon signed-rank test confirms this systematic offset is statistically significant (p &lt; 0.0001), indicating that Opus is a slightly stricter evaluator overall.</w:t>
      </w:r>
    </w:p>
    <w:p>
      <w:pPr>
        <w:spacing w:before="180" w:after="80"/>
      </w:pPr>
      <w:r>
        <w:rPr>
          <w:rFonts w:ascii="Times New Roman" w:cs="Times New Roman" w:eastAsia="Times New Roman" w:hAnsi="Times New Roman"/>
          <w:b/>
          <w:bCs/>
          <w:i/>
          <w:iCs/>
          <w:sz w:val="20"/>
          <w:szCs w:val="20"/>
        </w:rPr>
        <w:t xml:space="preserve">B. Variant Rankings: Strong Agreement on What Matters</w:t>
      </w:r>
    </w:p>
    <w:p>
      <w:pPr>
        <w:spacing w:after="80" w:line="264"/>
        <w:ind w:firstLine="240"/>
      </w:pPr>
      <w:r>
        <w:rPr>
          <w:rFonts w:ascii="Times New Roman" w:cs="Times New Roman" w:eastAsia="Times New Roman" w:hAnsi="Times New Roman"/>
          <w:sz w:val="20"/>
          <w:szCs w:val="20"/>
        </w:rPr>
        <w:t xml:space="preserve">The variant rank correlation between evaluators is strong (ρ = 0.853, p = 0.0004). Critically, both evaluators agree on the most important conclusions:</w:t>
      </w:r>
    </w:p>
    <w:p>
      <w:pPr>
        <w:spacing w:after="80" w:line="264"/>
        <w:ind w:firstLine="240"/>
      </w:pPr>
      <w:r>
        <w:rPr>
          <w:rFonts w:ascii="Times New Roman" w:cs="Times New Roman" w:eastAsia="Times New Roman" w:hAnsi="Times New Roman"/>
          <w:b/>
          <w:bCs/>
          <w:sz w:val="20"/>
          <w:szCs w:val="20"/>
        </w:rPr>
        <w:t xml:space="preserve">v2b (cross-model review) is ranked #1 by both evaluators</w:t>
      </w:r>
      <w:r>
        <w:rPr>
          <w:rFonts w:ascii="Times New Roman" w:cs="Times New Roman" w:eastAsia="Times New Roman" w:hAnsi="Times New Roman"/>
          <w:sz w:val="20"/>
          <w:szCs w:val="20"/>
        </w:rPr>
        <w:t xml:space="preserve"> (Opus: 4.708, GPT-OSS: 4.484). Opus actually amplifies v2b’s lead—it rates v2b 0.224 points higher than GPT-OSS does, the largest positive delta of any variant. This suggests that Claude finds the cross-model-reviewed designs even more impressive than GPT-OSS does.</w:t>
      </w:r>
    </w:p>
    <w:p>
      <w:pPr>
        <w:spacing w:after="80" w:line="264"/>
        <w:ind w:firstLine="240"/>
      </w:pPr>
      <w:r>
        <w:rPr>
          <w:rFonts w:ascii="Times New Roman" w:cs="Times New Roman" w:eastAsia="Times New Roman" w:hAnsi="Times New Roman"/>
          <w:b/>
          <w:bCs/>
          <w:sz w:val="20"/>
          <w:szCs w:val="20"/>
        </w:rPr>
        <w:t xml:space="preserve">v3 merge variants are bottom-tier for both evaluators. </w:t>
      </w:r>
      <w:r>
        <w:rPr>
          <w:rFonts w:ascii="Times New Roman" w:cs="Times New Roman" w:eastAsia="Times New Roman" w:hAnsi="Times New Roman"/>
          <w:sz w:val="20"/>
          <w:szCs w:val="20"/>
        </w:rPr>
        <w:t xml:space="preserve">v3a is rank 12/11, v3b is rank 10/10, v3c is rank 11/12. Opus is even harsher on v3a (3.443 vs. 3.944, Δ = −0.502)—the single largest score disagreement of any variant.</w:t>
      </w:r>
    </w:p>
    <w:p>
      <w:pPr>
        <w:spacing w:after="80" w:line="264"/>
        <w:ind w:firstLine="240"/>
      </w:pPr>
      <w:r>
        <w:rPr>
          <w:rFonts w:ascii="Times New Roman" w:cs="Times New Roman" w:eastAsia="Times New Roman" w:hAnsi="Times New Roman"/>
          <w:b/>
          <w:bCs/>
          <w:sz w:val="20"/>
          <w:szCs w:val="20"/>
        </w:rPr>
        <w:t xml:space="preserve">v4 adversarial remains a null result. </w:t>
      </w:r>
      <w:r>
        <w:rPr>
          <w:rFonts w:ascii="Times New Roman" w:cs="Times New Roman" w:eastAsia="Times New Roman" w:hAnsi="Times New Roman"/>
          <w:sz w:val="20"/>
          <w:szCs w:val="20"/>
        </w:rPr>
        <w:t xml:space="preserve">Both evaluators show v4 performing indistinguishably from v2a: Opus Δ = −0.022, GPT-OSS Δ = −0.025.</w:t>
      </w:r>
    </w:p>
    <w:p>
      <w:pPr>
        <w:spacing w:after="80" w:line="264"/>
        <w:ind w:firstLine="240"/>
      </w:pPr>
      <w:r>
        <w:rPr>
          <w:rFonts w:ascii="Times New Roman" w:cs="Times New Roman" w:eastAsia="Times New Roman" w:hAnsi="Times New Roman"/>
          <w:sz w:val="20"/>
          <w:szCs w:val="20"/>
        </w:rPr>
        <w:t xml:space="preserve">The largest ranking divergence is v8 (structured debate): GPT-OSS ranks it #5 (4.391) while Opus drops it to #9 (4.195, Δ = −0.196). Conversely, v1a (single-shot) rises from GPT-OSS rank #9 to Opus rank #5. This suggests Opus penalizes debate’s synthesized-position style and is more tolerant of single-shot designs.</w:t>
      </w:r>
    </w:p>
    <w:p>
      <w:pPr>
        <w:spacing w:before="120" w:after="60"/>
        <w:jc w:val="center"/>
      </w:pPr>
      <w:r>
        <w:drawing>
          <wp:inline distT="0" distB="0" distL="0" distR="0">
            <wp:extent cx="4429125" cy="3429000"/>
            <wp:effectExtent t="0" r="0" b="0" l="0"/>
            <wp:docPr id="1" name="fig10_evaluator_comparison.png" descr="fig10_evaluator_comparison.png" title="fig10_evaluator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29125" cy="3429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8. Full 480-run cross-evaluator comparison. Top-left: scatter plot (r=0.753). Top-right: variant means by both evaluators with rank annotations. Bottom-left: per-dimension bias. Bottom-right: score delta distribution.</w:t>
      </w:r>
    </w:p>
    <w:p>
      <w:pPr>
        <w:spacing w:before="180" w:after="80"/>
      </w:pPr>
      <w:r>
        <w:rPr>
          <w:rFonts w:ascii="Times New Roman" w:cs="Times New Roman" w:eastAsia="Times New Roman" w:hAnsi="Times New Roman"/>
          <w:b/>
          <w:bCs/>
          <w:i/>
          <w:iCs/>
          <w:sz w:val="20"/>
          <w:szCs w:val="20"/>
        </w:rPr>
        <w:t xml:space="preserve">C. Per-Dimension Bias</w:t>
      </w:r>
    </w:p>
    <w:p>
      <w:pPr>
        <w:spacing w:after="80" w:line="264"/>
        <w:ind w:firstLine="240"/>
      </w:pPr>
      <w:r>
        <w:rPr>
          <w:rFonts w:ascii="Times New Roman" w:cs="Times New Roman" w:eastAsia="Times New Roman" w:hAnsi="Times New Roman"/>
          <w:sz w:val="20"/>
          <w:szCs w:val="20"/>
        </w:rPr>
        <w:t xml:space="preserve">Opus rates Data Flow Clarity systematically higher (+0.22), suggesting it values concrete sequence diagrams and data transformation documentation more than GPT-OSS. GPT-OSS rates Cross-Cutting Concerns higher (+0.15) and Testability higher (+0.10). The highest-weighted dimensions (Domain Model at w=1.4, Testability at w=1.2) show moderate agreement, anchoring the overall correlation.</w:t>
      </w:r>
    </w:p>
    <w:p>
      <w:pPr>
        <w:spacing w:before="180" w:after="80"/>
      </w:pPr>
      <w:r>
        <w:rPr>
          <w:rFonts w:ascii="Times New Roman" w:cs="Times New Roman" w:eastAsia="Times New Roman" w:hAnsi="Times New Roman"/>
          <w:b/>
          <w:bCs/>
          <w:i/>
          <w:iCs/>
          <w:sz w:val="20"/>
          <w:szCs w:val="20"/>
        </w:rPr>
        <w:t xml:space="preserve">D. Tier Agreement</w:t>
      </w:r>
    </w:p>
    <w:p>
      <w:pPr>
        <w:spacing w:after="80" w:line="264"/>
        <w:ind w:firstLine="240"/>
      </w:pPr>
      <w:r>
        <w:rPr>
          <w:rFonts w:ascii="Times New Roman" w:cs="Times New Roman" w:eastAsia="Times New Roman" w:hAnsi="Times New Roman"/>
          <w:sz w:val="20"/>
          <w:szCs w:val="20"/>
        </w:rPr>
        <w:t xml:space="preserve">Classifying designs into three tiers (Top ≥ 4.4, Mid 4.0–4.4, Bot &lt; 4.0), the evaluators agree on 55.0% (264/480) of designs. The confusion matrix reveals an asymmetry: of 271 designs GPT-OSS rates as Top tier, Opus downgrades 136 to Mid and 7 to Bottom. Opus is more selective about what qualifies as top-tier—consistent with its slightly stricter overall tendency.</w:t>
      </w:r>
    </w:p>
    <w:p>
      <w:pPr>
        <w:spacing w:before="180" w:after="80"/>
      </w:pPr>
      <w:r>
        <w:rPr>
          <w:rFonts w:ascii="Times New Roman" w:cs="Times New Roman" w:eastAsia="Times New Roman" w:hAnsi="Times New Roman"/>
          <w:b/>
          <w:bCs/>
          <w:i/>
          <w:iCs/>
          <w:sz w:val="20"/>
          <w:szCs w:val="20"/>
        </w:rPr>
        <w:t xml:space="preserve">E. Implications</w:t>
      </w:r>
    </w:p>
    <w:p>
      <w:pPr>
        <w:spacing w:after="80" w:line="264"/>
        <w:ind w:firstLine="240"/>
      </w:pPr>
      <w:r>
        <w:rPr>
          <w:rFonts w:ascii="Times New Roman" w:cs="Times New Roman" w:eastAsia="Times New Roman" w:hAnsi="Times New Roman"/>
          <w:sz w:val="20"/>
          <w:szCs w:val="20"/>
        </w:rPr>
        <w:t xml:space="preserve">The cross-evaluator validation has four key implications. First, the central finding—v2b cross-model review is the quality champion—is robust and actually strengthened under Opus evaluation. Second, the merge variant failure (v3) is confirmed even more dramatically by Opus. Third, the specific ordering of mid-tier variants is evaluator-dependent; practitioners should treat the top tier as a cluster rather than a strict ranking. Fourth, the per-dimension bias pattern confirms that different model families weight design qualities differently even with identical rubrics—extending the complementary blind spots finding from design generation to evaluation. A multi-evaluator ensemble averaging GPT-OSS and Opus scores would produce more robust assessments by canceling each model’s systematic biases.</w:t>
      </w:r>
    </w:p>
    <w:p>
      <w:pPr>
        <w:spacing w:before="240" w:after="120"/>
        <w:jc w:val="center"/>
      </w:pPr>
      <w:r>
        <w:rPr>
          <w:rFonts w:ascii="Times New Roman" w:cs="Times New Roman" w:eastAsia="Times New Roman" w:hAnsi="Times New Roman"/>
          <w:b/>
          <w:bCs/>
          <w:sz w:val="20"/>
          <w:szCs w:val="20"/>
        </w:rPr>
        <w:t xml:space="preserve">REFERENCES</w:t>
      </w:r>
    </w:p>
    <w:p>
      <w:pPr>
        <w:spacing w:after="40" w:line="240"/>
        <w:ind w:left="360" w:hanging="360"/>
      </w:pPr>
      <w:r>
        <w:rPr>
          <w:rFonts w:ascii="Times New Roman" w:cs="Times New Roman" w:eastAsia="Times New Roman" w:hAnsi="Times New Roman"/>
          <w:sz w:val="18"/>
          <w:szCs w:val="18"/>
        </w:rPr>
        <w:t xml:space="preserve">[1] T. Qin et al., "ChatDev: Communicative agents for software development," arXiv:2307.07924, 2023.</w:t>
      </w:r>
    </w:p>
    <w:p>
      <w:pPr>
        <w:spacing w:after="40" w:line="240"/>
        <w:ind w:left="360" w:hanging="360"/>
      </w:pPr>
      <w:r>
        <w:rPr>
          <w:rFonts w:ascii="Times New Roman" w:cs="Times New Roman" w:eastAsia="Times New Roman" w:hAnsi="Times New Roman"/>
          <w:sz w:val="18"/>
          <w:szCs w:val="18"/>
        </w:rPr>
        <w:t xml:space="preserve">[2] S. Hong et al., "MetaGPT: Meta programming for multi-agent collaborative framework," arXiv:2308.00352, 2023.</w:t>
      </w:r>
    </w:p>
    <w:p>
      <w:pPr>
        <w:spacing w:after="40" w:line="240"/>
        <w:ind w:left="360" w:hanging="360"/>
      </w:pPr>
      <w:r>
        <w:rPr>
          <w:rFonts w:ascii="Times New Roman" w:cs="Times New Roman" w:eastAsia="Times New Roman" w:hAnsi="Times New Roman"/>
          <w:sz w:val="18"/>
          <w:szCs w:val="18"/>
        </w:rPr>
        <w:t xml:space="preserve">[3] M. Huang et al., "AgentCoder: Multi-agent code generation with iterative testing and optimization," arXiv:2312.13010, 2023.</w:t>
      </w:r>
    </w:p>
    <w:p>
      <w:pPr>
        <w:spacing w:after="40" w:line="240"/>
        <w:ind w:left="360" w:hanging="360"/>
      </w:pPr>
      <w:r>
        <w:rPr>
          <w:rFonts w:ascii="Times New Roman" w:cs="Times New Roman" w:eastAsia="Times New Roman" w:hAnsi="Times New Roman"/>
          <w:sz w:val="18"/>
          <w:szCs w:val="18"/>
        </w:rPr>
        <w:t xml:space="preserve">[4] M. Islam et al., "MapCoder: Multi-agent code generation for competitive programming," arXiv:2405.11403, 2024.</w:t>
      </w:r>
    </w:p>
    <w:p>
      <w:pPr>
        <w:spacing w:after="40" w:line="240"/>
        <w:ind w:left="360" w:hanging="360"/>
      </w:pPr>
      <w:r>
        <w:rPr>
          <w:rFonts w:ascii="Times New Roman" w:cs="Times New Roman" w:eastAsia="Times New Roman" w:hAnsi="Times New Roman"/>
          <w:sz w:val="18"/>
          <w:szCs w:val="18"/>
        </w:rPr>
        <w:t xml:space="preserve">[5] Y. Du et al., "Improving factuality and reasoning in language models through multiagent debate," arXiv:2305.14325, 2023.</w:t>
      </w:r>
    </w:p>
    <w:p>
      <w:pPr>
        <w:spacing w:after="40" w:line="240"/>
        <w:ind w:left="360" w:hanging="360"/>
      </w:pPr>
      <w:r>
        <w:rPr>
          <w:rFonts w:ascii="Times New Roman" w:cs="Times New Roman" w:eastAsia="Times New Roman" w:hAnsi="Times New Roman"/>
          <w:sz w:val="18"/>
          <w:szCs w:val="18"/>
        </w:rPr>
        <w:t xml:space="preserve">[6] T. Liang et al., "Encouraging divergent thinking in large language models through multi-agent debate," arXiv:2305.19118, 2023.</w:t>
      </w:r>
    </w:p>
    <w:p>
      <w:pPr>
        <w:spacing w:after="40" w:line="240"/>
        <w:ind w:left="360" w:hanging="360"/>
      </w:pPr>
      <w:r>
        <w:rPr>
          <w:rFonts w:ascii="Times New Roman" w:cs="Times New Roman" w:eastAsia="Times New Roman" w:hAnsi="Times New Roman"/>
          <w:sz w:val="18"/>
          <w:szCs w:val="18"/>
        </w:rPr>
        <w:t xml:space="preserve">[7] K. Krippendorff, Content Analysis: An Introduction to Its Methodology, 4th ed. Thousand Oaks, CA: SAGE, 2019.</w:t>
      </w:r>
    </w:p>
    <w:p>
      <w:pPr>
        <w:spacing w:after="40" w:line="240"/>
        <w:ind w:left="360" w:hanging="360"/>
      </w:pPr>
      <w:r>
        <w:rPr>
          <w:rFonts w:ascii="Times New Roman" w:cs="Times New Roman" w:eastAsia="Times New Roman" w:hAnsi="Times New Roman"/>
          <w:sz w:val="18"/>
          <w:szCs w:val="18"/>
        </w:rPr>
        <w:t xml:space="preserve">[8] M. Friedman, "The use of ranks to avoid the assumption of normality implicit in the analysis of variance," J. American Statistical Association, vol. 32, no. 200, pp. 675–701, 1937.</w:t>
      </w:r>
    </w:p>
    <w:p>
      <w:pPr>
        <w:spacing w:after="40" w:line="240"/>
        <w:ind w:left="360" w:hanging="360"/>
      </w:pPr>
      <w:r>
        <w:rPr>
          <w:rFonts w:ascii="Times New Roman" w:cs="Times New Roman" w:eastAsia="Times New Roman" w:hAnsi="Times New Roman"/>
          <w:sz w:val="18"/>
          <w:szCs w:val="18"/>
        </w:rPr>
        <w:t xml:space="preserve">[9] F. Wilcoxon, "Individual comparisons by ranking methods," Biometrics Bulletin, vol. 1, no. 6, pp. 80–83, 1945.</w:t>
      </w:r>
    </w:p>
    <w:p>
      <w:pPr>
        <w:spacing w:after="40" w:line="240"/>
        <w:ind w:left="360" w:hanging="360"/>
      </w:pPr>
      <w:r>
        <w:rPr>
          <w:rFonts w:ascii="Times New Roman" w:cs="Times New Roman" w:eastAsia="Times New Roman" w:hAnsi="Times New Roman"/>
          <w:sz w:val="18"/>
          <w:szCs w:val="18"/>
        </w:rPr>
        <w:t xml:space="preserve">[10] J. Cohen, Statistical Power Analysis for the Behavioral Sciences, 2nd ed. Hillsdale, NJ: Lawrence Erlbaum, 1988.</w:t>
      </w:r>
    </w:p>
    <w:p>
      <w:pPr>
        <w:spacing w:after="40" w:line="240"/>
        <w:ind w:left="360" w:hanging="360"/>
      </w:pPr>
      <w:r>
        <w:rPr>
          <w:rFonts w:ascii="Times New Roman" w:cs="Times New Roman" w:eastAsia="Times New Roman" w:hAnsi="Times New Roman"/>
          <w:sz w:val="18"/>
          <w:szCs w:val="18"/>
        </w:rPr>
        <w:t xml:space="preserve">[11] E. Evans, Domain-Driven Design: Tackling Complexity in the Heart of Software. Boston, MA: Addison-Wesley, 2004.</w:t>
      </w:r>
    </w:p>
    <w:p>
      <w:pPr>
        <w:spacing w:after="40" w:line="240"/>
        <w:ind w:left="360" w:hanging="360"/>
      </w:pPr>
      <w:r>
        <w:rPr>
          <w:rFonts w:ascii="Times New Roman" w:cs="Times New Roman" w:eastAsia="Times New Roman" w:hAnsi="Times New Roman"/>
          <w:sz w:val="18"/>
          <w:szCs w:val="18"/>
        </w:rPr>
        <w:t xml:space="preserve">[12] Google, "Gemini 2.5 Pro Technical Report," 2025. [Online]. Available: https://ai.google.dev</w:t>
      </w:r>
    </w:p>
    <w:p>
      <w:pPr>
        <w:spacing w:after="40" w:line="240"/>
        <w:ind w:left="360" w:hanging="360"/>
      </w:pPr>
      <w:r>
        <w:rPr>
          <w:rFonts w:ascii="Times New Roman" w:cs="Times New Roman" w:eastAsia="Times New Roman" w:hAnsi="Times New Roman"/>
          <w:sz w:val="18"/>
          <w:szCs w:val="18"/>
        </w:rPr>
        <w:t xml:space="preserve">[13] OpenAI, "GPT-4 Technical Report," arXiv:2303.08774, 2023.</w:t>
      </w:r>
    </w:p>
    <w:sectPr>
      <w:headerReference w:type="default" r:id="rId6"/>
      <w:footerReference w:type="default" r:id="rId7"/>
      <w:pgSz w:w="12240" w:h="15840" w:orient="portrait"/>
      <w:pgMar w:top="1080" w:right="900" w:bottom="1080" w:left="900" w:header="708" w:footer="708" w:gutter="0"/>
      <w:pgNumType/>
      <w:cols w:space="36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1" w:space="1"/>
      </w:pBdr>
    </w:pPr>
    <w:r>
      <w:rPr>
        <w:rFonts w:ascii="Times New Roman" w:cs="Times New Roman" w:eastAsia="Times New Roman" w:hAnsi="Times New Roman"/>
        <w:i/>
        <w:iCs/>
        <w:color w:val="666666"/>
        <w:sz w:val="16"/>
        <w:szCs w:val="16"/>
      </w:rPr>
      <w:t xml:space="preserve">IEEE Conference Paper — LLM Consortium for Software Design Refinement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jc w:val="center"/>
      <w:outlineLvl w:val="0"/>
    </w:pPr>
    <w:rPr>
      <w:rFonts w:ascii="Times New Roman" w:cs="Times New Roman" w:eastAsia="Times New Roman" w:hAnsi="Times New Roman"/>
      <w:b/>
      <w:bCs/>
      <w:sz w:val="20"/>
      <w:szCs w:val="20"/>
    </w:rPr>
  </w:style>
  <w:style w:type="paragraph" w:styleId="Heading2">
    <w:name w:val="Heading 2"/>
    <w:basedOn w:val="Normal"/>
    <w:next w:val="Normal"/>
    <w:qFormat/>
    <w:pPr>
      <w:spacing w:before="180" w:after="8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27f8777ebb2ee3c314a4b3bc5e6383a7269afb4.png"/><Relationship Id="rId9" Type="http://schemas.openxmlformats.org/officeDocument/2006/relationships/image" Target="media/d01d64d2bdaf3c709bbb1b7cca442d8680ed5dfc.png"/><Relationship Id="rId10" Type="http://schemas.openxmlformats.org/officeDocument/2006/relationships/image" Target="media/8b1a70b5aee00b4cdc83e4384b7ac125bae410da.png"/><Relationship Id="rId11" Type="http://schemas.openxmlformats.org/officeDocument/2006/relationships/image" Target="media/06dfa3bbfbb85b5e49f434befcc10269a0bb30ee.png"/><Relationship Id="rId12" Type="http://schemas.openxmlformats.org/officeDocument/2006/relationships/image" Target="media/b4170c4c7169275b3d29a20726dd6833d5811f1b.png"/><Relationship Id="rId13" Type="http://schemas.openxmlformats.org/officeDocument/2006/relationships/image" Target="media/8e36d02ab71c171369fb81d62d1b5bc6838c7192.png"/><Relationship Id="rId14" Type="http://schemas.openxmlformats.org/officeDocument/2006/relationships/image" Target="media/829028f3660b9e446b5abf6fb635227d910140f0.png"/><Relationship Id="rId15" Type="http://schemas.openxmlformats.org/officeDocument/2006/relationships/image" Target="media/cd0d9c67e680ce05df67a2994176d0675cd7f61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2026-02-22T02:47:25.170Z</dcterms:created>
  <dcterms:modified xsi:type="dcterms:W3CDTF">2026-02-22T02:47:25.175Z</dcterms:modified>
</cp:coreProperties>
</file>

<file path=docProps/custom.xml><?xml version="1.0" encoding="utf-8"?>
<Properties xmlns="http://schemas.openxmlformats.org/officeDocument/2006/custom-properties" xmlns:vt="http://schemas.openxmlformats.org/officeDocument/2006/docPropsVTypes"/>
</file>