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Cloud Security &amp; Compliance Report</w:t>
      </w:r>
    </w:p>
    <w:p>
      <w:r>
        <w:t>Author: Security Engineering Team | Date: Q4 2025</w:t>
      </w:r>
    </w:p>
    <w:p>
      <w:pPr>
        <w:pStyle w:val="Heading1"/>
      </w:pPr>
      <w:r>
        <w:t>1. Security Posture and Encryption Standards</w:t>
      </w:r>
    </w:p>
    <w:p>
      <w:r>
        <w:t>All document stores and vector embeddings are encrypted at rest using AES-256 and in transit via TLS 1.3.</w:t>
      </w:r>
    </w:p>
    <w:p>
      <w:r>
        <w:t>Role-Based Access Control (RBAC) and JSON Web Tokens (JWT) enforce granular document isolation, preventing cross-tenant information leakage.</w:t>
      </w:r>
    </w:p>
    <w:p>
      <w:pPr>
        <w:pStyle w:val="Heading1"/>
      </w:pPr>
      <w:r>
        <w:t>2. Compliance Benchmarks</w:t>
      </w:r>
    </w:p>
    <w:p>
      <w:r>
        <w:t>The system conforms to SOC 2 Type II, ISO/IEC 27001, and HIPAA compliance specifications.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Compliance Framework</w:t>
            </w:r>
          </w:p>
        </w:tc>
        <w:tc>
          <w:tcPr>
            <w:tcW w:type="dxa" w:w="2880"/>
          </w:tcPr>
          <w:p>
            <w:r>
              <w:t>Audit Status</w:t>
            </w:r>
          </w:p>
        </w:tc>
        <w:tc>
          <w:tcPr>
            <w:tcW w:type="dxa" w:w="2880"/>
          </w:tcPr>
          <w:p>
            <w:r>
              <w:t>Target Renewal Date</w:t>
            </w:r>
          </w:p>
        </w:tc>
      </w:tr>
      <w:tr>
        <w:tc>
          <w:tcPr>
            <w:tcW w:type="dxa" w:w="2880"/>
          </w:tcPr>
          <w:p>
            <w:r>
              <w:t>SOC 2 Type II</w:t>
            </w:r>
          </w:p>
        </w:tc>
        <w:tc>
          <w:tcPr>
            <w:tcW w:type="dxa" w:w="2880"/>
          </w:tcPr>
          <w:p>
            <w:r>
              <w:t>Passed - Zero Non-Conformances</w:t>
            </w:r>
          </w:p>
        </w:tc>
        <w:tc>
          <w:tcPr>
            <w:tcW w:type="dxa" w:w="2880"/>
          </w:tcPr>
          <w:p>
            <w:r>
              <w:t>September 2026</w:t>
            </w:r>
          </w:p>
        </w:tc>
      </w:tr>
      <w:tr>
        <w:tc>
          <w:tcPr>
            <w:tcW w:type="dxa" w:w="2880"/>
          </w:tcPr>
          <w:p>
            <w:r>
              <w:t>HIPAA HITECH</w:t>
            </w:r>
          </w:p>
        </w:tc>
        <w:tc>
          <w:tcPr>
            <w:tcW w:type="dxa" w:w="2880"/>
          </w:tcPr>
          <w:p>
            <w:r>
              <w:t>Fully Certified</w:t>
            </w:r>
          </w:p>
        </w:tc>
        <w:tc>
          <w:tcPr>
            <w:tcW w:type="dxa" w:w="2880"/>
          </w:tcPr>
          <w:p>
            <w:r>
              <w:t>November 2026</w:t>
            </w:r>
          </w:p>
        </w:tc>
      </w:tr>
      <w:tr>
        <w:tc>
          <w:tcPr>
            <w:tcW w:type="dxa" w:w="2880"/>
          </w:tcPr>
          <w:p>
            <w:r>
              <w:t>ISO 27001:2022</w:t>
            </w:r>
          </w:p>
        </w:tc>
        <w:tc>
          <w:tcPr>
            <w:tcW w:type="dxa" w:w="2880"/>
          </w:tcPr>
          <w:p>
            <w:r>
              <w:t>Certified</w:t>
            </w:r>
          </w:p>
        </w:tc>
        <w:tc>
          <w:tcPr>
            <w:tcW w:type="dxa" w:w="2880"/>
          </w:tcPr>
          <w:p>
            <w:r>
              <w:t>January 2027</w:t>
            </w:r>
          </w:p>
        </w:tc>
      </w:tr>
    </w:tbl>
    <w:p>
      <w:pPr>
        <w:pStyle w:val="Heading1"/>
      </w:pPr>
      <w:r>
        <w:t>3. Incident Response and Uptime SLA</w:t>
      </w:r>
    </w:p>
    <w:p>
      <w:r>
        <w:t>Current operational uptime across the document processing cluster is 99.98%, well exceeding the 99.9% target SLA. No critical vulnerabilities were detected during the quarterly penetration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