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 — AMENDMENT NO. 2</w:t>
      </w:r>
    </w:p>
    <w:p>
      <w:r>
        <w:t>2.1  Section 4.1 is amended to replace "thirty (30) days" with "forty-five (45) days" for all invoices issued after the Amendment Effective Date.</w:t>
      </w:r>
    </w:p>
    <w:p>
      <w:r>
        <w:t>3.1  The fee schedule in Schedule A is replaced in its entirety: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Overage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$12,500</w:t>
            </w:r>
          </w:p>
        </w:tc>
        <w:tc>
          <w:tcPr>
            <w:tcW w:type="dxa" w:w="2880"/>
          </w:tcPr>
          <w:p>
            <w:r>
              <w:t>$0.04 / unit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$41,000</w:t>
            </w:r>
          </w:p>
        </w:tc>
        <w:tc>
          <w:tcPr>
            <w:tcW w:type="dxa" w:w="2880"/>
          </w:tcPr>
          <w:p>
            <w:r>
              <w:t>$0.025 / unit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