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NexusCRM Product Decision Log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Maintained by: </w:t>
      </w:r>
      <w:r>
        <w:rPr>
          <w:sz w:val="20"/>
        </w:rPr>
        <w:t>Sarah Chen, Head of Product</w:t>
      </w:r>
    </w:p>
    <w:p>
      <w:r>
        <w:rPr>
          <w:b/>
          <w:color w:val="555555"/>
          <w:sz w:val="20"/>
        </w:rPr>
        <w:t xml:space="preserve">Period: </w:t>
      </w:r>
      <w:r>
        <w:rPr>
          <w:sz w:val="20"/>
        </w:rPr>
        <w:t>September 2025 — February 2026</w:t>
      </w:r>
    </w:p>
    <w:p>
      <w:pPr>
        <w:spacing w:before="240" w:after="80"/>
      </w:pPr>
      <w:r>
        <w:rPr>
          <w:b/>
          <w:color w:val="0066CC"/>
          <w:sz w:val="28"/>
        </w:rPr>
        <w:t>How to Use This Log</w:t>
      </w:r>
    </w:p>
    <w:p>
      <w:r>
        <w:rPr>
          <w:sz w:val="20"/>
        </w:rPr>
        <w:t>This document captures significant product decisions, their context, alternatives considered, and rationale. It serves as organizational memory to prevent re-litigating settled decisions and to onboard new team members.</w:t>
      </w:r>
    </w:p>
    <w:p>
      <w:pPr>
        <w:spacing w:before="240" w:after="80"/>
      </w:pPr>
      <w:r>
        <w:rPr>
          <w:b/>
          <w:color w:val="0066CC"/>
          <w:sz w:val="28"/>
        </w:rPr>
        <w:t>Decision #1: Real-Time vs Batch AI Lead Scoring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November 3, 2025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Sarah Chen (final call), with CTO and VP Sales alignment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Product Strategy — AI Lead Scoring Architecture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Hybrid approach — lightweight model for instant scoring, full model re-score every 4 hours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Alternatives Rejected: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Pure real-time ($0.12/score, cost prohibitive at scale)</w:t>
      </w:r>
    </w:p>
    <w:p>
      <w:pPr>
        <w:pStyle w:val="ListBullet"/>
      </w:pPr>
      <w:r>
        <w:rPr>
          <w:sz w:val="20"/>
        </w:rPr>
        <w:t>Pure batch/hourly (too slow — 68% of enterprise customers respond to hot leads within 1 hour)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Balances speed ($0.03/score) with enterprise requirement for near-instant lead prioritization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Model performing at 0.87 AUC. Latency: 145ms. On track for March beta.</w:t>
      </w:r>
    </w:p>
    <w:p>
      <w:pPr>
        <w:spacing w:before="240" w:after="80"/>
      </w:pPr>
      <w:r>
        <w:rPr>
          <w:b/>
          <w:color w:val="0066CC"/>
          <w:sz w:val="28"/>
        </w:rPr>
        <w:t>Decision #2: Build vs Buy for Unified Inbox Integration Layer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October 22, 2025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Amanda Liu (CEO)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Quarterly Planning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Build the integration layer in-house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Alternatives Rejected: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MessageBird partnership ($320K/year, data privacy concerns, vendor dependency)</w:t>
      </w:r>
    </w:p>
    <w:p>
      <w:pPr>
        <w:pStyle w:val="ListBullet"/>
      </w:pPr>
      <w:r>
        <w:rPr>
          <w:sz w:val="20"/>
        </w:rPr>
        <w:t>Twilio Flex ($280K/year, weak on social channels)</w:t>
      </w:r>
    </w:p>
    <w:p>
      <w:pPr>
        <w:pStyle w:val="ListBullet"/>
      </w:pPr>
      <w:r>
        <w:rPr>
          <w:sz w:val="20"/>
        </w:rPr>
        <w:t>Acquire Intercom ($2.1B valuation — not feasible)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Customer data is our moat; deep CRM context (health score, ARR, history) impossible with third-party embeds; $140K/year cost savings at scale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Trade-off:</w:t>
      </w:r>
      <w:r>
        <w:rPr>
          <w:sz w:val="20"/>
        </w:rPr>
        <w:t xml:space="preserve"> Social channels delayed 7 months (Nov 2025 → Q1 2026) vs partner approach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v1 shipped Nov 15. Social channels targeting Feb 28 (may slip to Mar 14 due to Meta API issues).</w:t>
      </w:r>
    </w:p>
    <w:p>
      <w:pPr>
        <w:spacing w:before="240" w:after="80"/>
      </w:pPr>
      <w:r>
        <w:rPr>
          <w:b/>
          <w:color w:val="0066CC"/>
          <w:sz w:val="28"/>
        </w:rPr>
        <w:t>Decision #3: Widget Library vs Freeform Canvas for Dashboard Builder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November 20, 2025 (formalized) / September 15, 2025 (initial)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Aisha Patel with Lisa Park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Design Review — Custom Dashboard Builder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Widget library approach (predefined chart types on a grid layout)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Alternatives Rejected: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Freeform canvas (Figma-like) — 3x slower time-to-first-dashboard, 42% completion rate vs 85%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Target users are non-technical (VP Sales, RevOps, Support Managers). Widget library had 3x faster completion and 2x higher satisfaction in user testing (n=8).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Trade-off:</w:t>
      </w:r>
      <w:r>
        <w:rPr>
          <w:sz w:val="20"/>
        </w:rPr>
        <w:t xml:space="preserve"> Power users limited. Custom SQL widget planned for Phase 2.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Design complete. Engineering starting January 2026.</w:t>
      </w:r>
    </w:p>
    <w:p>
      <w:pPr>
        <w:spacing w:before="240" w:after="80"/>
      </w:pPr>
      <w:r>
        <w:rPr>
          <w:b/>
          <w:color w:val="0066CC"/>
          <w:sz w:val="28"/>
        </w:rPr>
        <w:t>Decision #4: No-Code vs Low-Code for Workflow Automation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January 5,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Sarah Chen with CEO Amanda Liu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Product Strategy Session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Ship no-code visual builder first (Phase 1); add low-code JavaScript editor in Phase 2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82% of target users are non-technical. Salesforce data shows Flow Builder (no-code) has 45% adoption vs Apex (code) at 8%. CEO directive: "Make it so simple they can build a workflow in under 5 minutes."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PRD under review. Q2 2026 target.</w:t>
      </w:r>
    </w:p>
    <w:p>
      <w:pPr>
        <w:spacing w:before="240" w:after="80"/>
      </w:pPr>
      <w:r>
        <w:rPr>
          <w:b/>
          <w:color w:val="0066CC"/>
          <w:sz w:val="28"/>
        </w:rPr>
        <w:t>Decision #5: Reject Conversation Intelligence for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November 15, 2025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Marcus Webb (CTO)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Product Strategy — 2026 Planning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Do not invest in conversation intelligence (call recording/analysis) in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Market is saturated with well-funded competitors (Gong: $7.2B valuation, Chorus acquired by ZoomInfo, Clari). Our differentiation is CRM-native AI (scoring, predictions, workflows), not call analysis.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Alternatives Considered: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Build basic call transcription + sentiment analysis</w:t>
      </w:r>
    </w:p>
    <w:p>
      <w:pPr>
        <w:pStyle w:val="ListBullet"/>
      </w:pPr>
      <w:r>
        <w:rPr>
          <w:sz w:val="20"/>
        </w:rPr>
        <w:t>Partner with Gong for integration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Resources redirected to AI Lead Scoring and Workflow Automation.</w:t>
      </w:r>
    </w:p>
    <w:p>
      <w:pPr>
        <w:spacing w:before="240" w:after="80"/>
      </w:pPr>
      <w:r>
        <w:rPr>
          <w:b/>
          <w:color w:val="0066CC"/>
          <w:sz w:val="28"/>
        </w:rPr>
        <w:t>Decision #6: Prioritize Workflow Automation Over Customer 360 in Q2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December 15, 2025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Sarah Chen + Amanda Liu (CEO)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Q2 Planning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Workflow Automation Engine ships in Q2; Customer 360 View deferred to H2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Customer 360 requires data unification infrastructure not ready until H2. Workflow automation has a clearer revenue case ($1.8M projected) and addresses the #1 churn reason (RetailMax churned citing "18 Zapier integrations").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Workflow Engine PRD in review. Customer 360 on H2 roadmap.</w:t>
      </w:r>
    </w:p>
    <w:p>
      <w:pPr>
        <w:spacing w:before="240" w:after="80"/>
      </w:pPr>
      <w:r>
        <w:rPr>
          <w:b/>
          <w:color w:val="0066CC"/>
          <w:sz w:val="28"/>
        </w:rPr>
        <w:t>Decision #7: Delay Mobile Redesign from Q1 to Q2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December 10, 2025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Product Leadership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Sprint Planning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Mobile app redesign moves from Q1 to Q2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Mobile usage is 12% of total platform usage. Dashboard Builder and AI Lead Scoring have 4x higher projected ROI. Mobile team to focus on bug fixes and incremental improvements in Q1.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Mobile redesign starting April 2026.</w:t>
      </w:r>
    </w:p>
    <w:p>
      <w:pPr>
        <w:spacing w:before="240" w:after="80"/>
      </w:pPr>
      <w:r>
        <w:rPr>
          <w:b/>
          <w:color w:val="0066CC"/>
          <w:sz w:val="28"/>
        </w:rPr>
        <w:t>Decision #8: SOC 2 Type II as Q1 Non-Negotiable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November 28, 2025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David Kim (VP Sales) + Amanda Liu (CEO)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Revenue Review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SOC 2 Type II certification must complete by March 15, 2026 — no trade-offs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3 Enterprise deals worth $1.4M combined are contingent on certification. One prospect (MedTech Solutions) requires it for legal compliance.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Audit in progress with Deloitte. 2 minor findings being remediated. On track for March 15.</w:t>
      </w:r>
    </w:p>
    <w:p>
      <w:pPr>
        <w:spacing w:before="240" w:after="80"/>
      </w:pPr>
      <w:r>
        <w:rPr>
          <w:b/>
          <w:color w:val="0066CC"/>
          <w:sz w:val="28"/>
        </w:rPr>
        <w:t>Decision #9: PDF Rendering Library for Dashboard Exports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February 5,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Aisha Patel + Engineering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Technical Spike Review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Use Playwright over Puppeteer for server-side dashboard rendering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Playwright showed 40% better stability in tests, superior CSS grid rendering, and better cross-browser consistency. Cost: $12K/year license.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Budget approval pending ($12K).</w:t>
      </w:r>
    </w:p>
    <w:p>
      <w:pPr>
        <w:spacing w:before="240" w:after="80"/>
      </w:pPr>
      <w:r>
        <w:rPr>
          <w:b/>
          <w:color w:val="0066CC"/>
          <w:sz w:val="28"/>
        </w:rPr>
        <w:t>Decision #10: Webhook Authentication for Workflow Engine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February 7,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Marcus Webb (CTO) + Security Team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Architecture Review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API keys only in Phase 1; OAuth2 support in Phase 2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OAuth2 implementation adds 3 weeks to timeline. API keys sufficient for 90% of webhook use cases (Slack, PagerDuty, custom endpoints). Enterprise customers needing OAuth2 can wait for Phase 2 (Q3).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Simplifies Workflow Engine Phase 1 by 3 weeks.</w:t>
      </w:r>
    </w:p>
    <w:p>
      <w:pPr>
        <w:spacing w:before="240" w:after="80"/>
      </w:pPr>
      <w:r>
        <w:rPr>
          <w:b/>
          <w:color w:val="0066CC"/>
          <w:sz w:val="28"/>
        </w:rPr>
        <w:t>Decision #11: Unified Inbox Meta Webhook Migration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January 31, 2026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 Maker:</w:t>
      </w:r>
      <w:r>
        <w:rPr>
          <w:sz w:val="20"/>
        </w:rPr>
        <w:t xml:space="preserve"> James Rodriguez + Priya Sharma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Meeting:</w:t>
      </w:r>
      <w:r>
        <w:rPr>
          <w:sz w:val="20"/>
        </w:rPr>
        <w:t xml:space="preserve"> Sprint 2 Retrospective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Decision:</w:t>
      </w:r>
      <w:r>
        <w:rPr>
          <w:sz w:val="20"/>
        </w:rPr>
        <w:t xml:space="preserve"> Migrate Facebook/Instagram integration from polling to webhooks (2-week delay accepted)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Rationale:</w:t>
      </w:r>
      <w:r>
        <w:rPr>
          <w:sz w:val="20"/>
        </w:rPr>
        <w:t xml:space="preserve"> Polling approach hits Meta Graph API rate limits at 100+ customers. Webhooks are the scalable path. James: "Shipping without Facebook undermines the 'unified' promise."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Outcome:</w:t>
      </w:r>
      <w:r>
        <w:rPr>
          <w:sz w:val="20"/>
        </w:rPr>
        <w:t xml:space="preserve"> Unified Inbox v2 target moves from Feb 28 to Mar 14. Sarah communicating to stakeholders.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