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color w:val="0066CC"/>
          <w:sz w:val="36"/>
        </w:rPr>
        <w:t>NexusCRM Annual Strategic Roadmap 2026</w:t>
      </w:r>
    </w:p>
    <w:p>
      <w:pPr>
        <w:spacing w:after="160"/>
        <w:pBdr>
          <w:bottom w:val="single" w:sz="12" w:space="1" w:color="0066CC"/>
        </w:pBdr>
      </w:pPr>
    </w:p>
    <w:p>
      <w:r>
        <w:rPr>
          <w:b/>
          <w:color w:val="555555"/>
          <w:sz w:val="20"/>
        </w:rPr>
        <w:t xml:space="preserve">Presented to: </w:t>
      </w:r>
      <w:r>
        <w:rPr>
          <w:sz w:val="20"/>
        </w:rPr>
        <w:t>Board of Directors</w:t>
      </w:r>
    </w:p>
    <w:p>
      <w:r>
        <w:rPr>
          <w:b/>
          <w:color w:val="555555"/>
          <w:sz w:val="20"/>
        </w:rPr>
        <w:t xml:space="preserve">Author: </w:t>
      </w:r>
      <w:r>
        <w:rPr>
          <w:sz w:val="20"/>
        </w:rPr>
        <w:t>Amanda Liu, CEO &amp; Sarah Chen, Head of Product</w:t>
      </w:r>
    </w:p>
    <w:p>
      <w:r>
        <w:rPr>
          <w:b/>
          <w:color w:val="555555"/>
          <w:sz w:val="20"/>
        </w:rPr>
        <w:t xml:space="preserve">Date: </w:t>
      </w:r>
      <w:r>
        <w:rPr>
          <w:sz w:val="20"/>
        </w:rPr>
        <w:t>December 18, 2025</w:t>
      </w:r>
    </w:p>
    <w:p>
      <w:r>
        <w:rPr>
          <w:sz w:val="20"/>
        </w:rPr>
      </w:r>
      <w:r>
        <w:rPr>
          <w:b/>
          <w:sz w:val="20"/>
        </w:rPr>
        <w:t>Confidential — Internal Only</w:t>
      </w:r>
      <w:r>
        <w:rPr>
          <w:sz w:val="20"/>
        </w:rPr>
      </w:r>
    </w:p>
    <w:p>
      <w:pPr>
        <w:spacing w:before="240" w:after="80"/>
      </w:pPr>
      <w:r>
        <w:rPr>
          <w:b/>
          <w:color w:val="0066CC"/>
          <w:sz w:val="28"/>
        </w:rPr>
        <w:t>2025 in Review</w:t>
      </w:r>
    </w:p>
    <w:p>
      <w:pPr>
        <w:spacing w:before="160" w:after="60"/>
      </w:pPr>
      <w:r>
        <w:rPr>
          <w:b/>
          <w:color w:val="222222"/>
          <w:sz w:val="22"/>
        </w:rPr>
        <w:t>Key Achievements</w:t>
      </w:r>
    </w:p>
    <w:p>
      <w:pPr>
        <w:pStyle w:val="ListBullet"/>
      </w:pPr>
      <w:r>
        <w:rPr>
          <w:sz w:val="20"/>
        </w:rPr>
      </w:r>
      <w:r>
        <w:rPr>
          <w:b/>
          <w:sz w:val="20"/>
        </w:rPr>
        <w:t>ARR growth:</w:t>
      </w:r>
      <w:r>
        <w:rPr>
          <w:sz w:val="20"/>
        </w:rPr>
        <w:t xml:space="preserve"> $18M → $28M (56% YoY growth)</w:t>
      </w:r>
    </w:p>
    <w:p>
      <w:pPr>
        <w:pStyle w:val="ListBullet"/>
      </w:pPr>
      <w:r>
        <w:rPr>
          <w:sz w:val="20"/>
        </w:rPr>
      </w:r>
      <w:r>
        <w:rPr>
          <w:b/>
          <w:sz w:val="20"/>
        </w:rPr>
        <w:t>Customer count:</w:t>
      </w:r>
      <w:r>
        <w:rPr>
          <w:sz w:val="20"/>
        </w:rPr>
        <w:t xml:space="preserve"> 340 → 520 companies</w:t>
      </w:r>
    </w:p>
    <w:p>
      <w:pPr>
        <w:pStyle w:val="ListBullet"/>
      </w:pPr>
      <w:r>
        <w:rPr>
          <w:sz w:val="20"/>
        </w:rPr>
      </w:r>
      <w:r>
        <w:rPr>
          <w:b/>
          <w:sz w:val="20"/>
        </w:rPr>
        <w:t>Net Revenue Retention:</w:t>
      </w:r>
      <w:r>
        <w:rPr>
          <w:sz w:val="20"/>
        </w:rPr>
        <w:t xml:space="preserve"> 118%</w:t>
      </w:r>
    </w:p>
    <w:p>
      <w:pPr>
        <w:pStyle w:val="ListBullet"/>
      </w:pPr>
      <w:r>
        <w:rPr>
          <w:sz w:val="20"/>
        </w:rPr>
      </w:r>
      <w:r>
        <w:rPr>
          <w:b/>
          <w:sz w:val="20"/>
        </w:rPr>
        <w:t>Major launches:</w:t>
      </w:r>
      <w:r>
        <w:rPr>
          <w:sz w:val="20"/>
        </w:rPr>
        <w:t xml:space="preserve"> Unified Inbox v1, Real-time Notifications, API v1, Mobile App</w:t>
      </w:r>
    </w:p>
    <w:p>
      <w:pPr>
        <w:pStyle w:val="ListBullet"/>
      </w:pPr>
      <w:r>
        <w:rPr>
          <w:sz w:val="20"/>
        </w:rPr>
      </w:r>
      <w:r>
        <w:rPr>
          <w:b/>
          <w:sz w:val="20"/>
        </w:rPr>
        <w:t>Enterprise wins:</w:t>
      </w:r>
      <w:r>
        <w:rPr>
          <w:sz w:val="20"/>
        </w:rPr>
        <w:t xml:space="preserve"> Landed 12 accounts with ARR &gt; $100K (up from 3 in 2024)</w:t>
      </w:r>
    </w:p>
    <w:p>
      <w:pPr>
        <w:spacing w:before="160" w:after="60"/>
      </w:pPr>
      <w:r>
        <w:rPr>
          <w:b/>
          <w:color w:val="222222"/>
          <w:sz w:val="22"/>
        </w:rPr>
        <w:t>Lessons Learned</w:t>
      </w:r>
    </w:p>
    <w:p>
      <w:pPr>
        <w:pStyle w:val="ListNumber"/>
      </w:pPr>
      <w:r>
        <w:rPr>
          <w:sz w:val="20"/>
        </w:rPr>
      </w:r>
      <w:r>
        <w:rPr>
          <w:b/>
          <w:sz w:val="20"/>
        </w:rPr>
        <w:t>AI features drive Enterprise sales</w:t>
      </w:r>
      <w:r>
        <w:rPr>
          <w:sz w:val="20"/>
        </w:rPr>
        <w:t xml:space="preserve"> — Lead scoring POC was the deciding factor in 4 of our 12 Enterprise wins</w:t>
      </w:r>
    </w:p>
    <w:p>
      <w:pPr>
        <w:pStyle w:val="ListNumber"/>
      </w:pPr>
      <w:r>
        <w:rPr>
          <w:sz w:val="20"/>
        </w:rPr>
      </w:r>
      <w:r>
        <w:rPr>
          <w:b/>
          <w:sz w:val="20"/>
        </w:rPr>
        <w:t>Platform gaps cause churn</w:t>
      </w:r>
      <w:r>
        <w:rPr>
          <w:sz w:val="20"/>
        </w:rPr>
        <w:t xml:space="preserve"> — 23% of churned accounts cited "lack of customization" (dashboards, workflows)</w:t>
      </w:r>
    </w:p>
    <w:p>
      <w:pPr>
        <w:pStyle w:val="ListNumber"/>
      </w:pPr>
      <w:r>
        <w:rPr>
          <w:sz w:val="20"/>
        </w:rPr>
      </w:r>
      <w:r>
        <w:rPr>
          <w:b/>
          <w:sz w:val="20"/>
        </w:rPr>
        <w:t>Support experience is a differentiator</w:t>
      </w:r>
      <w:r>
        <w:rPr>
          <w:sz w:val="20"/>
        </w:rPr>
        <w:t xml:space="preserve"> — NPS for companies using Unified Inbox is 62 vs. 41 for those who don't</w:t>
      </w:r>
    </w:p>
    <w:p>
      <w:pPr>
        <w:spacing w:before="240" w:after="80"/>
      </w:pPr>
      <w:r>
        <w:rPr>
          <w:b/>
          <w:color w:val="0066CC"/>
          <w:sz w:val="28"/>
        </w:rPr>
        <w:t>2026 Vision: The Intelligent CRM</w:t>
      </w:r>
    </w:p>
    <w:p>
      <w:r>
        <w:rPr>
          <w:b/>
          <w:color w:val="555555"/>
          <w:sz w:val="20"/>
        </w:rPr>
        <w:t xml:space="preserve">Thesis: </w:t>
      </w:r>
      <w:r>
        <w:rPr>
          <w:sz w:val="20"/>
        </w:rPr>
        <w:t>The CRM market is shifting from "tool that stores data" to "system that drives action." Winners will be those who turn customer data into automated, intelligent workflows. NexusCRM will lead this shift in the mid-market.</w:t>
      </w:r>
    </w:p>
    <w:p>
      <w:r>
        <w:rPr>
          <w:b/>
          <w:color w:val="555555"/>
          <w:sz w:val="20"/>
        </w:rPr>
        <w:t xml:space="preserve">North Star Metric: </w:t>
      </w:r>
      <w:r>
        <w:rPr>
          <w:sz w:val="20"/>
        </w:rPr>
        <w:t>Customer Actions Automated per Month</w:t>
      </w:r>
    </w:p>
    <w:p>
      <w:pPr>
        <w:pStyle w:val="ListBullet"/>
      </w:pPr>
      <w:r>
        <w:rPr>
          <w:sz w:val="20"/>
        </w:rPr>
        <w:t>2025 baseline: ~0 (no native automation)</w:t>
      </w:r>
    </w:p>
    <w:p>
      <w:pPr>
        <w:pStyle w:val="ListBullet"/>
      </w:pPr>
      <w:r>
        <w:rPr>
          <w:sz w:val="20"/>
        </w:rPr>
        <w:t>2026 target: 500,000 automated actions/month across customer base</w:t>
      </w:r>
    </w:p>
    <w:p>
      <w:pPr>
        <w:spacing w:before="240" w:after="80"/>
      </w:pPr>
      <w:r>
        <w:rPr>
          <w:b/>
          <w:color w:val="0066CC"/>
          <w:sz w:val="28"/>
        </w:rPr>
        <w:t>Annual Priorities (Ranked)</w:t>
      </w:r>
    </w:p>
    <w:p>
      <w:pPr>
        <w:spacing w:before="160" w:after="60"/>
      </w:pPr>
      <w:r>
        <w:rPr>
          <w:b/>
          <w:color w:val="222222"/>
          <w:sz w:val="22"/>
        </w:rPr>
        <w:t>Priority 1: AI Lead Scoring + Predictive Analytics</w:t>
      </w:r>
    </w:p>
    <w:p>
      <w:r>
        <w:rPr>
          <w:b/>
          <w:color w:val="555555"/>
          <w:sz w:val="20"/>
        </w:rPr>
        <w:t xml:space="preserve">Investment: </w:t>
      </w:r>
      <w:r>
        <w:rPr>
          <w:sz w:val="20"/>
        </w:rPr>
        <w:t>$2.4M (6 engineers, 2 data scientists, 12 months)</w:t>
      </w:r>
    </w:p>
    <w:p>
      <w:r>
        <w:rPr>
          <w:b/>
          <w:color w:val="555555"/>
          <w:sz w:val="20"/>
        </w:rPr>
        <w:t xml:space="preserve">Why now: </w:t>
      </w:r>
      <w:r>
        <w:rPr>
          <w:sz w:val="20"/>
        </w:rPr>
        <w:t>AI is the #1 purchase criterion in 2026 RFPs. Our beta results show 0.87 AUC and 38% improvement in conversion rates. This is the single biggest competitive differentiator we can ship.</w:t>
      </w:r>
    </w:p>
    <w:p>
      <w:r>
        <w:rPr>
          <w:b/>
          <w:color w:val="555555"/>
          <w:sz w:val="20"/>
        </w:rPr>
        <w:t xml:space="preserve">Key deliverables: </w:t>
      </w:r>
    </w:p>
    <w:p>
      <w:pPr>
        <w:pStyle w:val="ListBullet"/>
      </w:pPr>
      <w:r>
        <w:rPr>
          <w:sz w:val="20"/>
        </w:rPr>
        <w:t>Q1: Beta launch (20 customers)</w:t>
      </w:r>
    </w:p>
    <w:p>
      <w:pPr>
        <w:pStyle w:val="ListBullet"/>
      </w:pPr>
      <w:r>
        <w:rPr>
          <w:sz w:val="20"/>
        </w:rPr>
        <w:t>Q2: GA launch with explainability and custom training</w:t>
      </w:r>
    </w:p>
    <w:p>
      <w:pPr>
        <w:pStyle w:val="ListBullet"/>
      </w:pPr>
      <w:r>
        <w:rPr>
          <w:sz w:val="20"/>
        </w:rPr>
        <w:t>Q3: Predictive deal forecasting</w:t>
      </w:r>
    </w:p>
    <w:p>
      <w:pPr>
        <w:pStyle w:val="ListBullet"/>
      </w:pPr>
      <w:r>
        <w:rPr>
          <w:sz w:val="20"/>
        </w:rPr>
        <w:t>Q4: Churn prediction model</w:t>
      </w:r>
    </w:p>
    <w:p>
      <w:r>
        <w:rPr>
          <w:b/>
          <w:color w:val="555555"/>
          <w:sz w:val="20"/>
        </w:rPr>
        <w:t xml:space="preserve">Revenue projection: </w:t>
      </w:r>
      <w:r>
        <w:rPr>
          <w:sz w:val="20"/>
        </w:rPr>
        <w:t>$3.2M incremental ARR from AI features by Dec 2026</w:t>
      </w:r>
    </w:p>
    <w:p>
      <w:pPr>
        <w:spacing w:before="160" w:after="60"/>
      </w:pPr>
      <w:r>
        <w:rPr>
          <w:b/>
          <w:color w:val="222222"/>
          <w:sz w:val="22"/>
        </w:rPr>
        <w:t>Priority 2: Workflow Automation Engine</w:t>
      </w:r>
    </w:p>
    <w:p>
      <w:r>
        <w:rPr>
          <w:b/>
          <w:color w:val="555555"/>
          <w:sz w:val="20"/>
        </w:rPr>
        <w:t xml:space="preserve">Investment: </w:t>
      </w:r>
      <w:r>
        <w:rPr>
          <w:sz w:val="20"/>
        </w:rPr>
        <w:t>$1.8M (4 engineers, 1 designer, 10 months)</w:t>
      </w:r>
    </w:p>
    <w:p>
      <w:r>
        <w:rPr>
          <w:b/>
          <w:color w:val="555555"/>
          <w:sz w:val="20"/>
        </w:rPr>
        <w:t xml:space="preserve">Why now: </w:t>
      </w:r>
      <w:r>
        <w:rPr>
          <w:sz w:val="20"/>
        </w:rPr>
        <w:t>78% of customers use third-party automation. This is both a retention play (reduce third-party dependency) and an expansion play (automation is a gateway to Enterprise tier).</w:t>
      </w:r>
    </w:p>
    <w:p>
      <w:r>
        <w:rPr>
          <w:b/>
          <w:color w:val="555555"/>
          <w:sz w:val="20"/>
        </w:rPr>
        <w:t xml:space="preserve">Key deliverables: </w:t>
      </w:r>
    </w:p>
    <w:p>
      <w:pPr>
        <w:pStyle w:val="ListBullet"/>
      </w:pPr>
      <w:r>
        <w:rPr>
          <w:sz w:val="20"/>
        </w:rPr>
        <w:t>Q2: No-code visual builder GA</w:t>
      </w:r>
    </w:p>
    <w:p>
      <w:pPr>
        <w:pStyle w:val="ListBullet"/>
      </w:pPr>
      <w:r>
        <w:rPr>
          <w:sz w:val="20"/>
        </w:rPr>
        <w:t>Q3: Webhook integrations + conditional logic</w:t>
      </w:r>
    </w:p>
    <w:p>
      <w:pPr>
        <w:pStyle w:val="ListBullet"/>
      </w:pPr>
      <w:r>
        <w:rPr>
          <w:sz w:val="20"/>
        </w:rPr>
        <w:t>Q4: AI-assisted workflow generation + marketplace templates</w:t>
      </w:r>
    </w:p>
    <w:p>
      <w:r>
        <w:rPr>
          <w:b/>
          <w:color w:val="555555"/>
          <w:sz w:val="20"/>
        </w:rPr>
        <w:t xml:space="preserve">Revenue projection: </w:t>
      </w:r>
      <w:r>
        <w:rPr>
          <w:sz w:val="20"/>
        </w:rPr>
        <w:t>$1.8M incremental ARR; 15% improvement in net retention</w:t>
      </w:r>
    </w:p>
    <w:p>
      <w:pPr>
        <w:spacing w:before="160" w:after="60"/>
      </w:pPr>
      <w:r>
        <w:rPr>
          <w:b/>
          <w:color w:val="222222"/>
          <w:sz w:val="22"/>
        </w:rPr>
        <w:t>Priority 3: Custom Dashboard Builder</w:t>
      </w:r>
    </w:p>
    <w:p>
      <w:r>
        <w:rPr>
          <w:b/>
          <w:color w:val="555555"/>
          <w:sz w:val="20"/>
        </w:rPr>
        <w:t xml:space="preserve">Investment: </w:t>
      </w:r>
      <w:r>
        <w:rPr>
          <w:sz w:val="20"/>
        </w:rPr>
        <w:t>$1.2M (3 engineers, 1 designer, 8 months)</w:t>
      </w:r>
    </w:p>
    <w:p>
      <w:r>
        <w:rPr>
          <w:b/>
          <w:color w:val="555555"/>
          <w:sz w:val="20"/>
        </w:rPr>
        <w:t xml:space="preserve">Why now: </w:t>
      </w:r>
      <w:r>
        <w:rPr>
          <w:sz w:val="20"/>
        </w:rPr>
        <w:t>#1 feature request for 18 months. 34% of at-risk accounts cite this gap. Table stakes for Enterprise.</w:t>
      </w:r>
    </w:p>
    <w:p>
      <w:r>
        <w:rPr>
          <w:b/>
          <w:color w:val="555555"/>
          <w:sz w:val="20"/>
        </w:rPr>
        <w:t xml:space="preserve">Key deliverables: </w:t>
      </w:r>
    </w:p>
    <w:p>
      <w:pPr>
        <w:pStyle w:val="ListBullet"/>
      </w:pPr>
      <w:r>
        <w:rPr>
          <w:sz w:val="20"/>
        </w:rPr>
        <w:t>Q1: Beta with 8 widget types</w:t>
      </w:r>
    </w:p>
    <w:p>
      <w:pPr>
        <w:pStyle w:val="ListBullet"/>
      </w:pPr>
      <w:r>
        <w:rPr>
          <w:sz w:val="20"/>
        </w:rPr>
        <w:t>Q2: GA + scheduled delivery + export</w:t>
      </w:r>
    </w:p>
    <w:p>
      <w:pPr>
        <w:pStyle w:val="ListBullet"/>
      </w:pPr>
      <w:r>
        <w:rPr>
          <w:sz w:val="20"/>
        </w:rPr>
        <w:t>Q3: Custom SQL widget + embedded analytics</w:t>
      </w:r>
    </w:p>
    <w:p>
      <w:pPr>
        <w:pStyle w:val="ListBullet"/>
      </w:pPr>
      <w:r>
        <w:rPr>
          <w:sz w:val="20"/>
        </w:rPr>
        <w:t>Q4: Dashboard marketplace (share templates)</w:t>
      </w:r>
    </w:p>
    <w:p>
      <w:r>
        <w:rPr>
          <w:b/>
          <w:color w:val="555555"/>
          <w:sz w:val="20"/>
        </w:rPr>
        <w:t xml:space="preserve">Revenue projection: </w:t>
      </w:r>
      <w:r>
        <w:rPr>
          <w:sz w:val="20"/>
        </w:rPr>
        <w:t>$2.8M in churn prevention; $400K in upsell</w:t>
      </w:r>
    </w:p>
    <w:p>
      <w:pPr>
        <w:spacing w:before="160" w:after="60"/>
      </w:pPr>
      <w:r>
        <w:rPr>
          <w:b/>
          <w:color w:val="222222"/>
          <w:sz w:val="22"/>
        </w:rPr>
        <w:t>Priority 4: Platform &amp; Marketplace</w:t>
      </w:r>
    </w:p>
    <w:p>
      <w:r>
        <w:rPr>
          <w:b/>
          <w:color w:val="555555"/>
          <w:sz w:val="20"/>
        </w:rPr>
        <w:t xml:space="preserve">Investment: </w:t>
      </w:r>
      <w:r>
        <w:rPr>
          <w:sz w:val="20"/>
        </w:rPr>
        <w:t>$1.5M (8 engineers, 6 months)</w:t>
      </w:r>
    </w:p>
    <w:p>
      <w:r>
        <w:rPr>
          <w:b/>
          <w:color w:val="555555"/>
          <w:sz w:val="20"/>
        </w:rPr>
        <w:t xml:space="preserve">Why now: </w:t>
      </w:r>
      <w:r>
        <w:rPr>
          <w:sz w:val="20"/>
        </w:rPr>
        <w:t>Our API traffic has grown 340% YoY. Partners are building on us whether we support them or not. A marketplace creates ecosystem lock-in.</w:t>
      </w:r>
    </w:p>
    <w:p>
      <w:r>
        <w:rPr>
          <w:b/>
          <w:color w:val="555555"/>
          <w:sz w:val="20"/>
        </w:rPr>
        <w:t xml:space="preserve">Key deliverables: </w:t>
      </w:r>
    </w:p>
    <w:p>
      <w:pPr>
        <w:pStyle w:val="ListBullet"/>
      </w:pPr>
      <w:r>
        <w:rPr>
          <w:sz w:val="20"/>
        </w:rPr>
        <w:t>Q1: Data API v2 (GA)</w:t>
      </w:r>
    </w:p>
    <w:p>
      <w:pPr>
        <w:pStyle w:val="ListBullet"/>
      </w:pPr>
      <w:r>
        <w:rPr>
          <w:sz w:val="20"/>
        </w:rPr>
        <w:t>Q2: Developer portal + OAuth app framework</w:t>
      </w:r>
    </w:p>
    <w:p>
      <w:pPr>
        <w:pStyle w:val="ListBullet"/>
      </w:pPr>
      <w:r>
        <w:rPr>
          <w:sz w:val="20"/>
        </w:rPr>
        <w:t>Q3: Marketplace beta (10 partner apps)</w:t>
      </w:r>
    </w:p>
    <w:p>
      <w:pPr>
        <w:pStyle w:val="ListBullet"/>
      </w:pPr>
      <w:r>
        <w:rPr>
          <w:sz w:val="20"/>
        </w:rPr>
        <w:t>Q4: Marketplace GA (25+ apps)</w:t>
      </w:r>
    </w:p>
    <w:p>
      <w:pPr>
        <w:spacing w:before="160" w:after="60"/>
      </w:pPr>
      <w:r>
        <w:rPr>
          <w:b/>
          <w:color w:val="222222"/>
          <w:sz w:val="22"/>
        </w:rPr>
        <w:t>Priority 5: Infrastructure &amp; Security</w:t>
      </w:r>
    </w:p>
    <w:p>
      <w:r>
        <w:rPr>
          <w:b/>
          <w:color w:val="555555"/>
          <w:sz w:val="20"/>
        </w:rPr>
        <w:t xml:space="preserve">Investment: </w:t>
      </w:r>
      <w:r>
        <w:rPr>
          <w:sz w:val="20"/>
        </w:rPr>
        <w:t>$900K (2 engineers + external audit)</w:t>
      </w:r>
    </w:p>
    <w:p>
      <w:r>
        <w:rPr>
          <w:b/>
          <w:color w:val="555555"/>
          <w:sz w:val="20"/>
        </w:rPr>
        <w:t xml:space="preserve">Key deliverables: </w:t>
      </w:r>
    </w:p>
    <w:p>
      <w:pPr>
        <w:pStyle w:val="ListBullet"/>
      </w:pPr>
      <w:r>
        <w:rPr>
          <w:sz w:val="20"/>
        </w:rPr>
        <w:t>Q1: SOC 2 Type II certification</w:t>
      </w:r>
    </w:p>
    <w:p>
      <w:pPr>
        <w:pStyle w:val="ListBullet"/>
      </w:pPr>
      <w:r>
        <w:rPr>
          <w:sz w:val="20"/>
        </w:rPr>
        <w:t>Q2: Multi-region prep (EU data residency)</w:t>
      </w:r>
    </w:p>
    <w:p>
      <w:pPr>
        <w:pStyle w:val="ListBullet"/>
      </w:pPr>
      <w:r>
        <w:rPr>
          <w:sz w:val="20"/>
        </w:rPr>
        <w:t>Q3: EU deployment GA</w:t>
      </w:r>
    </w:p>
    <w:p>
      <w:pPr>
        <w:pStyle w:val="ListBullet"/>
      </w:pPr>
      <w:r>
        <w:rPr>
          <w:sz w:val="20"/>
        </w:rPr>
        <w:t>Q4: HIPAA compliance (healthcare vertical)</w:t>
      </w:r>
    </w:p>
    <w:p>
      <w:pPr>
        <w:spacing w:before="240" w:after="80"/>
      </w:pPr>
      <w:r>
        <w:rPr>
          <w:b/>
          <w:color w:val="0066CC"/>
          <w:sz w:val="28"/>
        </w:rPr>
        <w:t>Financial Model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0066CC"/>
          </w:tcPr>
          <w:p>
            <w:pPr/>
            <w:r>
              <w:rPr>
                <w:b/>
                <w:color w:val="FFFFFF"/>
                <w:sz w:val="18"/>
              </w:rPr>
              <w:t>Metric</w:t>
            </w:r>
          </w:p>
        </w:tc>
        <w:tc>
          <w:tcPr>
            <w:tcW w:type="dxa" w:w="2493"/>
            <w:shd w:val="clear" w:color="auto" w:fill="0066CC"/>
          </w:tcPr>
          <w:p>
            <w:pPr/>
            <w:r>
              <w:rPr>
                <w:b/>
                <w:color w:val="FFFFFF"/>
                <w:sz w:val="18"/>
              </w:rPr>
              <w:t>2025 Actual</w:t>
            </w:r>
          </w:p>
        </w:tc>
        <w:tc>
          <w:tcPr>
            <w:tcW w:type="dxa" w:w="2493"/>
            <w:shd w:val="clear" w:color="auto" w:fill="0066CC"/>
          </w:tcPr>
          <w:p>
            <w:pPr/>
            <w:r>
              <w:rPr>
                <w:b/>
                <w:color w:val="FFFFFF"/>
                <w:sz w:val="18"/>
              </w:rPr>
              <w:t>2026 Target</w:t>
            </w:r>
          </w:p>
        </w:tc>
        <w:tc>
          <w:tcPr>
            <w:tcW w:type="dxa" w:w="2493"/>
            <w:shd w:val="clear" w:color="auto" w:fill="0066CC"/>
          </w:tcPr>
          <w:p>
            <w:pPr/>
            <w:r>
              <w:rPr>
                <w:b/>
                <w:color w:val="FFFFFF"/>
                <w:sz w:val="18"/>
              </w:rPr>
              <w:t>Growth</w:t>
            </w:r>
          </w:p>
        </w:tc>
      </w:tr>
      <w:tr>
        <w:tc>
          <w:tcPr>
            <w:tcW w:type="dxa" w:w="2493"/>
          </w:tcPr>
          <w:p>
            <w:r>
              <w:rPr>
                <w:sz w:val="18"/>
              </w:rPr>
              <w:t>ARR</w:t>
            </w:r>
          </w:p>
        </w:tc>
        <w:tc>
          <w:tcPr>
            <w:tcW w:type="dxa" w:w="2493"/>
          </w:tcPr>
          <w:p>
            <w:r>
              <w:rPr>
                <w:sz w:val="18"/>
              </w:rPr>
              <w:t>$28M</w:t>
            </w:r>
          </w:p>
        </w:tc>
        <w:tc>
          <w:tcPr>
            <w:tcW w:type="dxa" w:w="2493"/>
          </w:tcPr>
          <w:p>
            <w:r>
              <w:rPr>
                <w:sz w:val="18"/>
              </w:rPr>
              <w:t>$48M</w:t>
            </w:r>
          </w:p>
        </w:tc>
        <w:tc>
          <w:tcPr>
            <w:tcW w:type="dxa" w:w="2493"/>
          </w:tcPr>
          <w:p>
            <w:r>
              <w:rPr>
                <w:sz w:val="18"/>
              </w:rPr>
              <w:t>71%</w:t>
            </w:r>
          </w:p>
        </w:tc>
      </w:tr>
      <w:tr>
        <w:tc>
          <w:tcPr>
            <w:tcW w:type="dxa" w:w="2493"/>
            <w:shd w:val="clear" w:color="auto" w:fill="F0F4FF"/>
          </w:tcPr>
          <w:p>
            <w:r>
              <w:rPr>
                <w:sz w:val="18"/>
              </w:rPr>
              <w:t>Customers</w:t>
            </w:r>
          </w:p>
        </w:tc>
        <w:tc>
          <w:tcPr>
            <w:tcW w:type="dxa" w:w="2493"/>
            <w:shd w:val="clear" w:color="auto" w:fill="F0F4FF"/>
          </w:tcPr>
          <w:p>
            <w:r>
              <w:rPr>
                <w:sz w:val="18"/>
              </w:rPr>
              <w:t>520</w:t>
            </w:r>
          </w:p>
        </w:tc>
        <w:tc>
          <w:tcPr>
            <w:tcW w:type="dxa" w:w="2493"/>
            <w:shd w:val="clear" w:color="auto" w:fill="F0F4FF"/>
          </w:tcPr>
          <w:p>
            <w:r>
              <w:rPr>
                <w:sz w:val="18"/>
              </w:rPr>
              <w:t>850</w:t>
            </w:r>
          </w:p>
        </w:tc>
        <w:tc>
          <w:tcPr>
            <w:tcW w:type="dxa" w:w="2493"/>
            <w:shd w:val="clear" w:color="auto" w:fill="F0F4FF"/>
          </w:tcPr>
          <w:p>
            <w:r>
              <w:rPr>
                <w:sz w:val="18"/>
              </w:rPr>
              <w:t>63%</w:t>
            </w:r>
          </w:p>
        </w:tc>
      </w:tr>
      <w:tr>
        <w:tc>
          <w:tcPr>
            <w:tcW w:type="dxa" w:w="2493"/>
          </w:tcPr>
          <w:p>
            <w:r>
              <w:rPr>
                <w:sz w:val="18"/>
              </w:rPr>
              <w:t>Enterprise (&gt;$100K ARR)</w:t>
            </w:r>
          </w:p>
        </w:tc>
        <w:tc>
          <w:tcPr>
            <w:tcW w:type="dxa" w:w="2493"/>
          </w:tcPr>
          <w:p>
            <w:r>
              <w:rPr>
                <w:sz w:val="18"/>
              </w:rPr>
              <w:t>12</w:t>
            </w:r>
          </w:p>
        </w:tc>
        <w:tc>
          <w:tcPr>
            <w:tcW w:type="dxa" w:w="2493"/>
          </w:tcPr>
          <w:p>
            <w:r>
              <w:rPr>
                <w:sz w:val="18"/>
              </w:rPr>
              <w:t>35</w:t>
            </w:r>
          </w:p>
        </w:tc>
        <w:tc>
          <w:tcPr>
            <w:tcW w:type="dxa" w:w="2493"/>
          </w:tcPr>
          <w:p>
            <w:r>
              <w:rPr>
                <w:sz w:val="18"/>
              </w:rPr>
              <w:t>192%</w:t>
            </w:r>
          </w:p>
        </w:tc>
      </w:tr>
      <w:tr>
        <w:tc>
          <w:tcPr>
            <w:tcW w:type="dxa" w:w="2493"/>
            <w:shd w:val="clear" w:color="auto" w:fill="F0F4FF"/>
          </w:tcPr>
          <w:p>
            <w:r>
              <w:rPr>
                <w:sz w:val="18"/>
              </w:rPr>
              <w:t>Net Revenue Retention</w:t>
            </w:r>
          </w:p>
        </w:tc>
        <w:tc>
          <w:tcPr>
            <w:tcW w:type="dxa" w:w="2493"/>
            <w:shd w:val="clear" w:color="auto" w:fill="F0F4FF"/>
          </w:tcPr>
          <w:p>
            <w:r>
              <w:rPr>
                <w:sz w:val="18"/>
              </w:rPr>
              <w:t>118%</w:t>
            </w:r>
          </w:p>
        </w:tc>
        <w:tc>
          <w:tcPr>
            <w:tcW w:type="dxa" w:w="2493"/>
            <w:shd w:val="clear" w:color="auto" w:fill="F0F4FF"/>
          </w:tcPr>
          <w:p>
            <w:r>
              <w:rPr>
                <w:sz w:val="18"/>
              </w:rPr>
              <w:t>125%</w:t>
            </w:r>
          </w:p>
        </w:tc>
        <w:tc>
          <w:tcPr>
            <w:tcW w:type="dxa" w:w="2493"/>
            <w:shd w:val="clear" w:color="auto" w:fill="F0F4FF"/>
          </w:tcPr>
          <w:p>
            <w:r>
              <w:rPr>
                <w:sz w:val="18"/>
              </w:rPr>
              <w:t>+7pts</w:t>
            </w:r>
          </w:p>
        </w:tc>
      </w:tr>
      <w:tr>
        <w:tc>
          <w:tcPr>
            <w:tcW w:type="dxa" w:w="2493"/>
          </w:tcPr>
          <w:p>
            <w:r>
              <w:rPr>
                <w:sz w:val="18"/>
              </w:rPr>
              <w:t>Gross Margin</w:t>
            </w:r>
          </w:p>
        </w:tc>
        <w:tc>
          <w:tcPr>
            <w:tcW w:type="dxa" w:w="2493"/>
          </w:tcPr>
          <w:p>
            <w:r>
              <w:rPr>
                <w:sz w:val="18"/>
              </w:rPr>
              <w:t>72%</w:t>
            </w:r>
          </w:p>
        </w:tc>
        <w:tc>
          <w:tcPr>
            <w:tcW w:type="dxa" w:w="2493"/>
          </w:tcPr>
          <w:p>
            <w:r>
              <w:rPr>
                <w:sz w:val="18"/>
              </w:rPr>
              <w:t>75%</w:t>
            </w:r>
          </w:p>
        </w:tc>
        <w:tc>
          <w:tcPr>
            <w:tcW w:type="dxa" w:w="2493"/>
          </w:tcPr>
          <w:p>
            <w:r>
              <w:rPr>
                <w:sz w:val="18"/>
              </w:rPr>
              <w:t>+3pts</w:t>
            </w:r>
          </w:p>
        </w:tc>
      </w:tr>
      <w:tr>
        <w:tc>
          <w:tcPr>
            <w:tcW w:type="dxa" w:w="2493"/>
            <w:shd w:val="clear" w:color="auto" w:fill="F0F4FF"/>
          </w:tcPr>
          <w:p>
            <w:r>
              <w:rPr>
                <w:sz w:val="18"/>
              </w:rPr>
              <w:t>CAC Payback</w:t>
            </w:r>
          </w:p>
        </w:tc>
        <w:tc>
          <w:tcPr>
            <w:tcW w:type="dxa" w:w="2493"/>
            <w:shd w:val="clear" w:color="auto" w:fill="F0F4FF"/>
          </w:tcPr>
          <w:p>
            <w:r>
              <w:rPr>
                <w:sz w:val="18"/>
              </w:rPr>
              <w:t>14 months</w:t>
            </w:r>
          </w:p>
        </w:tc>
        <w:tc>
          <w:tcPr>
            <w:tcW w:type="dxa" w:w="2493"/>
            <w:shd w:val="clear" w:color="auto" w:fill="F0F4FF"/>
          </w:tcPr>
          <w:p>
            <w:r>
              <w:rPr>
                <w:sz w:val="18"/>
              </w:rPr>
              <w:t>11 months</w:t>
            </w:r>
          </w:p>
        </w:tc>
        <w:tc>
          <w:tcPr>
            <w:tcW w:type="dxa" w:w="2493"/>
            <w:shd w:val="clear" w:color="auto" w:fill="F0F4FF"/>
          </w:tcPr>
          <w:p>
            <w:r>
              <w:rPr>
                <w:sz w:val="18"/>
              </w:rPr>
              <w:t>-3 months</w:t>
            </w:r>
          </w:p>
        </w:tc>
      </w:tr>
      <w:tr>
        <w:tc>
          <w:tcPr>
            <w:tcW w:type="dxa" w:w="2493"/>
          </w:tcPr>
          <w:p>
            <w:r>
              <w:rPr>
                <w:sz w:val="18"/>
              </w:rPr>
              <w:t>R&amp;D as % Revenue</w:t>
            </w:r>
          </w:p>
        </w:tc>
        <w:tc>
          <w:tcPr>
            <w:tcW w:type="dxa" w:w="2493"/>
          </w:tcPr>
          <w:p>
            <w:r>
              <w:rPr>
                <w:sz w:val="18"/>
              </w:rPr>
              <w:t>42%</w:t>
            </w:r>
          </w:p>
        </w:tc>
        <w:tc>
          <w:tcPr>
            <w:tcW w:type="dxa" w:w="2493"/>
          </w:tcPr>
          <w:p>
            <w:r>
              <w:rPr>
                <w:sz w:val="18"/>
              </w:rPr>
              <w:t>38%</w:t>
            </w:r>
          </w:p>
        </w:tc>
        <w:tc>
          <w:tcPr>
            <w:tcW w:type="dxa" w:w="2493"/>
          </w:tcPr>
          <w:p>
            <w:r>
              <w:rPr>
                <w:sz w:val="18"/>
              </w:rPr>
              <w:t>-4pts</w:t>
            </w:r>
          </w:p>
        </w:tc>
      </w:tr>
    </w:tbl>
    <w:p/>
    <w:p>
      <w:pPr>
        <w:spacing w:before="240" w:after="80"/>
      </w:pPr>
      <w:r>
        <w:rPr>
          <w:b/>
          <w:color w:val="0066CC"/>
          <w:sz w:val="28"/>
        </w:rPr>
        <w:t>Hiring Plan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0066CC"/>
          </w:tcPr>
          <w:p>
            <w:pPr/>
            <w:r>
              <w:rPr>
                <w:b/>
                <w:color w:val="FFFFFF"/>
                <w:sz w:val="18"/>
              </w:rPr>
              <w:t>Role</w:t>
            </w:r>
          </w:p>
        </w:tc>
        <w:tc>
          <w:tcPr>
            <w:tcW w:type="dxa" w:w="1662"/>
            <w:shd w:val="clear" w:color="auto" w:fill="0066CC"/>
          </w:tcPr>
          <w:p>
            <w:pPr/>
            <w:r>
              <w:rPr>
                <w:b/>
                <w:color w:val="FFFFFF"/>
                <w:sz w:val="18"/>
              </w:rPr>
              <w:t>Q1</w:t>
            </w:r>
          </w:p>
        </w:tc>
        <w:tc>
          <w:tcPr>
            <w:tcW w:type="dxa" w:w="1662"/>
            <w:shd w:val="clear" w:color="auto" w:fill="0066CC"/>
          </w:tcPr>
          <w:p>
            <w:pPr/>
            <w:r>
              <w:rPr>
                <w:b/>
                <w:color w:val="FFFFFF"/>
                <w:sz w:val="18"/>
              </w:rPr>
              <w:t>Q2</w:t>
            </w:r>
          </w:p>
        </w:tc>
        <w:tc>
          <w:tcPr>
            <w:tcW w:type="dxa" w:w="1662"/>
            <w:shd w:val="clear" w:color="auto" w:fill="0066CC"/>
          </w:tcPr>
          <w:p>
            <w:pPr/>
            <w:r>
              <w:rPr>
                <w:b/>
                <w:color w:val="FFFFFF"/>
                <w:sz w:val="18"/>
              </w:rPr>
              <w:t>Q3</w:t>
            </w:r>
          </w:p>
        </w:tc>
        <w:tc>
          <w:tcPr>
            <w:tcW w:type="dxa" w:w="1662"/>
            <w:shd w:val="clear" w:color="auto" w:fill="0066CC"/>
          </w:tcPr>
          <w:p>
            <w:pPr/>
            <w:r>
              <w:rPr>
                <w:b/>
                <w:color w:val="FFFFFF"/>
                <w:sz w:val="18"/>
              </w:rPr>
              <w:t>Q4</w:t>
            </w:r>
          </w:p>
        </w:tc>
        <w:tc>
          <w:tcPr>
            <w:tcW w:type="dxa" w:w="1662"/>
            <w:shd w:val="clear" w:color="auto" w:fill="0066CC"/>
          </w:tcPr>
          <w:p>
            <w:pPr/>
            <w:r>
              <w:rPr>
                <w:b/>
                <w:color w:val="FFFFFF"/>
                <w:sz w:val="18"/>
              </w:rPr>
              <w:t>Total</w:t>
            </w:r>
          </w:p>
        </w:tc>
      </w:tr>
      <w:tr>
        <w:tc>
          <w:tcPr>
            <w:tcW w:type="dxa" w:w="1662"/>
          </w:tcPr>
          <w:p>
            <w:r>
              <w:rPr>
                <w:sz w:val="18"/>
              </w:rPr>
              <w:t>Backend Engineers</w:t>
            </w:r>
          </w:p>
        </w:tc>
        <w:tc>
          <w:tcPr>
            <w:tcW w:type="dxa" w:w="1662"/>
          </w:tcPr>
          <w:p>
            <w:r>
              <w:rPr>
                <w:sz w:val="18"/>
              </w:rPr>
              <w:t>2</w:t>
            </w:r>
          </w:p>
        </w:tc>
        <w:tc>
          <w:tcPr>
            <w:tcW w:type="dxa" w:w="1662"/>
          </w:tcPr>
          <w:p>
            <w:r>
              <w:rPr>
                <w:sz w:val="18"/>
              </w:rPr>
              <w:t>2</w:t>
            </w:r>
          </w:p>
        </w:tc>
        <w:tc>
          <w:tcPr>
            <w:tcW w:type="dxa" w:w="1662"/>
          </w:tcPr>
          <w:p>
            <w:r>
              <w:rPr>
                <w:sz w:val="18"/>
              </w:rPr>
              <w:t>1</w:t>
            </w:r>
          </w:p>
        </w:tc>
        <w:tc>
          <w:tcPr>
            <w:tcW w:type="dxa" w:w="1662"/>
          </w:tcPr>
          <w:p>
            <w:r>
              <w:rPr>
                <w:sz w:val="18"/>
              </w:rPr>
              <w:t>1</w:t>
            </w:r>
          </w:p>
        </w:tc>
        <w:tc>
          <w:tcPr>
            <w:tcW w:type="dxa" w:w="1662"/>
          </w:tcPr>
          <w:p>
            <w:r>
              <w:rPr>
                <w:sz w:val="18"/>
              </w:rPr>
              <w:t>6</w:t>
            </w:r>
          </w:p>
        </w:tc>
      </w:tr>
      <w:tr>
        <w:tc>
          <w:tcPr>
            <w:tcW w:type="dxa" w:w="1662"/>
            <w:shd w:val="clear" w:color="auto" w:fill="F0F4FF"/>
          </w:tcPr>
          <w:p>
            <w:r>
              <w:rPr>
                <w:sz w:val="18"/>
              </w:rPr>
              <w:t>Frontend Engineers</w:t>
            </w:r>
          </w:p>
        </w:tc>
        <w:tc>
          <w:tcPr>
            <w:tcW w:type="dxa" w:w="1662"/>
            <w:shd w:val="clear" w:color="auto" w:fill="F0F4FF"/>
          </w:tcPr>
          <w:p>
            <w:r>
              <w:rPr>
                <w:sz w:val="18"/>
              </w:rPr>
              <w:t>1</w:t>
            </w:r>
          </w:p>
        </w:tc>
        <w:tc>
          <w:tcPr>
            <w:tcW w:type="dxa" w:w="1662"/>
            <w:shd w:val="clear" w:color="auto" w:fill="F0F4FF"/>
          </w:tcPr>
          <w:p>
            <w:r>
              <w:rPr>
                <w:sz w:val="18"/>
              </w:rPr>
              <w:t>1</w:t>
            </w:r>
          </w:p>
        </w:tc>
        <w:tc>
          <w:tcPr>
            <w:tcW w:type="dxa" w:w="1662"/>
            <w:shd w:val="clear" w:color="auto" w:fill="F0F4FF"/>
          </w:tcPr>
          <w:p>
            <w:r>
              <w:rPr>
                <w:sz w:val="18"/>
              </w:rPr>
              <w:t>1</w:t>
            </w:r>
          </w:p>
        </w:tc>
        <w:tc>
          <w:tcPr>
            <w:tcW w:type="dxa" w:w="1662"/>
            <w:shd w:val="clear" w:color="auto" w:fill="F0F4FF"/>
          </w:tcPr>
          <w:p>
            <w:r>
              <w:rPr>
                <w:sz w:val="18"/>
              </w:rPr>
              <w:t>0</w:t>
            </w:r>
          </w:p>
        </w:tc>
        <w:tc>
          <w:tcPr>
            <w:tcW w:type="dxa" w:w="1662"/>
            <w:shd w:val="clear" w:color="auto" w:fill="F0F4FF"/>
          </w:tcPr>
          <w:p>
            <w:r>
              <w:rPr>
                <w:sz w:val="18"/>
              </w:rPr>
              <w:t>3</w:t>
            </w:r>
          </w:p>
        </w:tc>
      </w:tr>
      <w:tr>
        <w:tc>
          <w:tcPr>
            <w:tcW w:type="dxa" w:w="1662"/>
          </w:tcPr>
          <w:p>
            <w:r>
              <w:rPr>
                <w:sz w:val="18"/>
              </w:rPr>
              <w:t>ML Engineers</w:t>
            </w:r>
          </w:p>
        </w:tc>
        <w:tc>
          <w:tcPr>
            <w:tcW w:type="dxa" w:w="1662"/>
          </w:tcPr>
          <w:p>
            <w:r>
              <w:rPr>
                <w:sz w:val="18"/>
              </w:rPr>
              <w:t>1</w:t>
            </w:r>
          </w:p>
        </w:tc>
        <w:tc>
          <w:tcPr>
            <w:tcW w:type="dxa" w:w="1662"/>
          </w:tcPr>
          <w:p>
            <w:r>
              <w:rPr>
                <w:sz w:val="18"/>
              </w:rPr>
              <w:t>1</w:t>
            </w:r>
          </w:p>
        </w:tc>
        <w:tc>
          <w:tcPr>
            <w:tcW w:type="dxa" w:w="1662"/>
          </w:tcPr>
          <w:p>
            <w:r>
              <w:rPr>
                <w:sz w:val="18"/>
              </w:rPr>
              <w:t>0</w:t>
            </w:r>
          </w:p>
        </w:tc>
        <w:tc>
          <w:tcPr>
            <w:tcW w:type="dxa" w:w="1662"/>
          </w:tcPr>
          <w:p>
            <w:r>
              <w:rPr>
                <w:sz w:val="18"/>
              </w:rPr>
              <w:t>0</w:t>
            </w:r>
          </w:p>
        </w:tc>
        <w:tc>
          <w:tcPr>
            <w:tcW w:type="dxa" w:w="1662"/>
          </w:tcPr>
          <w:p>
            <w:r>
              <w:rPr>
                <w:sz w:val="18"/>
              </w:rPr>
              <w:t>2</w:t>
            </w:r>
          </w:p>
        </w:tc>
      </w:tr>
      <w:tr>
        <w:tc>
          <w:tcPr>
            <w:tcW w:type="dxa" w:w="1662"/>
            <w:shd w:val="clear" w:color="auto" w:fill="F0F4FF"/>
          </w:tcPr>
          <w:p>
            <w:r>
              <w:rPr>
                <w:sz w:val="18"/>
              </w:rPr>
              <w:t>Product Designers</w:t>
            </w:r>
          </w:p>
        </w:tc>
        <w:tc>
          <w:tcPr>
            <w:tcW w:type="dxa" w:w="1662"/>
            <w:shd w:val="clear" w:color="auto" w:fill="F0F4FF"/>
          </w:tcPr>
          <w:p>
            <w:r>
              <w:rPr>
                <w:sz w:val="18"/>
              </w:rPr>
              <w:t>1</w:t>
            </w:r>
          </w:p>
        </w:tc>
        <w:tc>
          <w:tcPr>
            <w:tcW w:type="dxa" w:w="1662"/>
            <w:shd w:val="clear" w:color="auto" w:fill="F0F4FF"/>
          </w:tcPr>
          <w:p>
            <w:r>
              <w:rPr>
                <w:sz w:val="18"/>
              </w:rPr>
              <w:t>0</w:t>
            </w:r>
          </w:p>
        </w:tc>
        <w:tc>
          <w:tcPr>
            <w:tcW w:type="dxa" w:w="1662"/>
            <w:shd w:val="clear" w:color="auto" w:fill="F0F4FF"/>
          </w:tcPr>
          <w:p>
            <w:r>
              <w:rPr>
                <w:sz w:val="18"/>
              </w:rPr>
              <w:t>1</w:t>
            </w:r>
          </w:p>
        </w:tc>
        <w:tc>
          <w:tcPr>
            <w:tcW w:type="dxa" w:w="1662"/>
            <w:shd w:val="clear" w:color="auto" w:fill="F0F4FF"/>
          </w:tcPr>
          <w:p>
            <w:r>
              <w:rPr>
                <w:sz w:val="18"/>
              </w:rPr>
              <w:t>0</w:t>
            </w:r>
          </w:p>
        </w:tc>
        <w:tc>
          <w:tcPr>
            <w:tcW w:type="dxa" w:w="1662"/>
            <w:shd w:val="clear" w:color="auto" w:fill="F0F4FF"/>
          </w:tcPr>
          <w:p>
            <w:r>
              <w:rPr>
                <w:sz w:val="18"/>
              </w:rPr>
              <w:t>2</w:t>
            </w:r>
          </w:p>
        </w:tc>
      </w:tr>
      <w:tr>
        <w:tc>
          <w:tcPr>
            <w:tcW w:type="dxa" w:w="1662"/>
          </w:tcPr>
          <w:p>
            <w:r>
              <w:rPr>
                <w:sz w:val="18"/>
              </w:rPr>
              <w:t>Product Managers</w:t>
            </w:r>
          </w:p>
        </w:tc>
        <w:tc>
          <w:tcPr>
            <w:tcW w:type="dxa" w:w="1662"/>
          </w:tcPr>
          <w:p>
            <w:r>
              <w:rPr>
                <w:sz w:val="18"/>
              </w:rPr>
              <w:t>0</w:t>
            </w:r>
          </w:p>
        </w:tc>
        <w:tc>
          <w:tcPr>
            <w:tcW w:type="dxa" w:w="1662"/>
          </w:tcPr>
          <w:p>
            <w:r>
              <w:rPr>
                <w:sz w:val="18"/>
              </w:rPr>
              <w:t>1</w:t>
            </w:r>
          </w:p>
        </w:tc>
        <w:tc>
          <w:tcPr>
            <w:tcW w:type="dxa" w:w="1662"/>
          </w:tcPr>
          <w:p>
            <w:r>
              <w:rPr>
                <w:sz w:val="18"/>
              </w:rPr>
              <w:t>0</w:t>
            </w:r>
          </w:p>
        </w:tc>
        <w:tc>
          <w:tcPr>
            <w:tcW w:type="dxa" w:w="1662"/>
          </w:tcPr>
          <w:p>
            <w:r>
              <w:rPr>
                <w:sz w:val="18"/>
              </w:rPr>
              <w:t>0</w:t>
            </w:r>
          </w:p>
        </w:tc>
        <w:tc>
          <w:tcPr>
            <w:tcW w:type="dxa" w:w="1662"/>
          </w:tcPr>
          <w:p>
            <w:r>
              <w:rPr>
                <w:sz w:val="18"/>
              </w:rPr>
              <w:t>1</w:t>
            </w:r>
          </w:p>
        </w:tc>
      </w:tr>
      <w:tr>
        <w:tc>
          <w:tcPr>
            <w:tcW w:type="dxa" w:w="1662"/>
            <w:shd w:val="clear" w:color="auto" w:fill="F0F4FF"/>
          </w:tcPr>
          <w:p>
            <w:r>
              <w:rPr>
                <w:sz w:val="18"/>
              </w:rPr>
              <w:t>DevOps/SRE</w:t>
            </w:r>
          </w:p>
        </w:tc>
        <w:tc>
          <w:tcPr>
            <w:tcW w:type="dxa" w:w="1662"/>
            <w:shd w:val="clear" w:color="auto" w:fill="F0F4FF"/>
          </w:tcPr>
          <w:p>
            <w:r>
              <w:rPr>
                <w:sz w:val="18"/>
              </w:rPr>
              <w:t>1</w:t>
            </w:r>
          </w:p>
        </w:tc>
        <w:tc>
          <w:tcPr>
            <w:tcW w:type="dxa" w:w="1662"/>
            <w:shd w:val="clear" w:color="auto" w:fill="F0F4FF"/>
          </w:tcPr>
          <w:p>
            <w:r>
              <w:rPr>
                <w:sz w:val="18"/>
              </w:rPr>
              <w:t>0</w:t>
            </w:r>
          </w:p>
        </w:tc>
        <w:tc>
          <w:tcPr>
            <w:tcW w:type="dxa" w:w="1662"/>
            <w:shd w:val="clear" w:color="auto" w:fill="F0F4FF"/>
          </w:tcPr>
          <w:p>
            <w:r>
              <w:rPr>
                <w:sz w:val="18"/>
              </w:rPr>
              <w:t>0</w:t>
            </w:r>
          </w:p>
        </w:tc>
        <w:tc>
          <w:tcPr>
            <w:tcW w:type="dxa" w:w="1662"/>
            <w:shd w:val="clear" w:color="auto" w:fill="F0F4FF"/>
          </w:tcPr>
          <w:p>
            <w:r>
              <w:rPr>
                <w:sz w:val="18"/>
              </w:rPr>
              <w:t>1</w:t>
            </w:r>
          </w:p>
        </w:tc>
        <w:tc>
          <w:tcPr>
            <w:tcW w:type="dxa" w:w="1662"/>
            <w:shd w:val="clear" w:color="auto" w:fill="F0F4FF"/>
          </w:tcPr>
          <w:p>
            <w:r>
              <w:rPr>
                <w:sz w:val="18"/>
              </w:rPr>
              <w:t>2</w:t>
            </w:r>
          </w:p>
        </w:tc>
      </w:tr>
      <w:tr>
        <w:tc>
          <w:tcPr>
            <w:tcW w:type="dxa" w:w="1662"/>
          </w:tcPr>
          <w:p>
            <w:r>
              <w:rPr>
                <w:sz w:val="18"/>
              </w:rPr>
              <w:t>**Total New Hires**</w:t>
            </w:r>
          </w:p>
        </w:tc>
        <w:tc>
          <w:tcPr>
            <w:tcW w:type="dxa" w:w="1662"/>
          </w:tcPr>
          <w:p>
            <w:r>
              <w:rPr>
                <w:sz w:val="18"/>
              </w:rPr>
              <w:t>**6**</w:t>
            </w:r>
          </w:p>
        </w:tc>
        <w:tc>
          <w:tcPr>
            <w:tcW w:type="dxa" w:w="1662"/>
          </w:tcPr>
          <w:p>
            <w:r>
              <w:rPr>
                <w:sz w:val="18"/>
              </w:rPr>
              <w:t>**5**</w:t>
            </w:r>
          </w:p>
        </w:tc>
        <w:tc>
          <w:tcPr>
            <w:tcW w:type="dxa" w:w="1662"/>
          </w:tcPr>
          <w:p>
            <w:r>
              <w:rPr>
                <w:sz w:val="18"/>
              </w:rPr>
              <w:t>**3**</w:t>
            </w:r>
          </w:p>
        </w:tc>
        <w:tc>
          <w:tcPr>
            <w:tcW w:type="dxa" w:w="1662"/>
          </w:tcPr>
          <w:p>
            <w:r>
              <w:rPr>
                <w:sz w:val="18"/>
              </w:rPr>
              <w:t>**2**</w:t>
            </w:r>
          </w:p>
        </w:tc>
        <w:tc>
          <w:tcPr>
            <w:tcW w:type="dxa" w:w="1662"/>
          </w:tcPr>
          <w:p>
            <w:r>
              <w:rPr>
                <w:sz w:val="18"/>
              </w:rPr>
              <w:t>**16**</w:t>
            </w:r>
          </w:p>
        </w:tc>
      </w:tr>
    </w:tbl>
    <w:p/>
    <w:p>
      <w:r>
        <w:rPr>
          <w:sz w:val="20"/>
        </w:rPr>
        <w:t>Current team: 34 → Year-end: 50</w:t>
      </w:r>
    </w:p>
    <w:p>
      <w:pPr>
        <w:spacing w:before="240" w:after="80"/>
      </w:pPr>
      <w:r>
        <w:rPr>
          <w:b/>
          <w:color w:val="0066CC"/>
          <w:sz w:val="28"/>
        </w:rPr>
        <w:t>Key Decisions Made for 2026</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0066CC"/>
          </w:tcPr>
          <w:p>
            <w:pPr/>
            <w:r>
              <w:rPr>
                <w:b/>
                <w:color w:val="FFFFFF"/>
                <w:sz w:val="18"/>
              </w:rPr>
              <w:t>Decision</w:t>
            </w:r>
          </w:p>
        </w:tc>
        <w:tc>
          <w:tcPr>
            <w:tcW w:type="dxa" w:w="2493"/>
            <w:shd w:val="clear" w:color="auto" w:fill="0066CC"/>
          </w:tcPr>
          <w:p>
            <w:pPr/>
            <w:r>
              <w:rPr>
                <w:b/>
                <w:color w:val="FFFFFF"/>
                <w:sz w:val="18"/>
              </w:rPr>
              <w:t>Date</w:t>
            </w:r>
          </w:p>
        </w:tc>
        <w:tc>
          <w:tcPr>
            <w:tcW w:type="dxa" w:w="2493"/>
            <w:shd w:val="clear" w:color="auto" w:fill="0066CC"/>
          </w:tcPr>
          <w:p>
            <w:pPr/>
            <w:r>
              <w:rPr>
                <w:b/>
                <w:color w:val="FFFFFF"/>
                <w:sz w:val="18"/>
              </w:rPr>
              <w:t>Participants</w:t>
            </w:r>
          </w:p>
        </w:tc>
        <w:tc>
          <w:tcPr>
            <w:tcW w:type="dxa" w:w="2493"/>
            <w:shd w:val="clear" w:color="auto" w:fill="0066CC"/>
          </w:tcPr>
          <w:p>
            <w:pPr/>
            <w:r>
              <w:rPr>
                <w:b/>
                <w:color w:val="FFFFFF"/>
                <w:sz w:val="18"/>
              </w:rPr>
              <w:t>Rationale</w:t>
            </w:r>
          </w:p>
        </w:tc>
      </w:tr>
      <w:tr>
        <w:tc>
          <w:tcPr>
            <w:tcW w:type="dxa" w:w="2493"/>
          </w:tcPr>
          <w:p>
            <w:r>
              <w:rPr>
                <w:sz w:val="18"/>
              </w:rPr>
              <w:t>AI-First strategy over horizontal feature parity</w:t>
            </w:r>
          </w:p>
        </w:tc>
        <w:tc>
          <w:tcPr>
            <w:tcW w:type="dxa" w:w="2493"/>
          </w:tcPr>
          <w:p>
            <w:r>
              <w:rPr>
                <w:sz w:val="18"/>
              </w:rPr>
              <w:t>Nov 2025</w:t>
            </w:r>
          </w:p>
        </w:tc>
        <w:tc>
          <w:tcPr>
            <w:tcW w:type="dxa" w:w="2493"/>
          </w:tcPr>
          <w:p>
            <w:r>
              <w:rPr>
                <w:sz w:val="18"/>
              </w:rPr>
              <w:t>Board, CEO, CTO</w:t>
            </w:r>
          </w:p>
        </w:tc>
        <w:tc>
          <w:tcPr>
            <w:tcW w:type="dxa" w:w="2493"/>
          </w:tcPr>
          <w:p>
            <w:r>
              <w:rPr>
                <w:sz w:val="18"/>
              </w:rPr>
              <w:t>AI is the differentiator; we can't out-feature Salesforce</w:t>
            </w:r>
          </w:p>
        </w:tc>
      </w:tr>
      <w:tr>
        <w:tc>
          <w:tcPr>
            <w:tcW w:type="dxa" w:w="2493"/>
            <w:shd w:val="clear" w:color="auto" w:fill="F0F4FF"/>
          </w:tcPr>
          <w:p>
            <w:r>
              <w:rPr>
                <w:sz w:val="18"/>
              </w:rPr>
              <w:t>Invest in mid-market, not move upmarket</w:t>
            </w:r>
          </w:p>
        </w:tc>
        <w:tc>
          <w:tcPr>
            <w:tcW w:type="dxa" w:w="2493"/>
            <w:shd w:val="clear" w:color="auto" w:fill="F0F4FF"/>
          </w:tcPr>
          <w:p>
            <w:r>
              <w:rPr>
                <w:sz w:val="18"/>
              </w:rPr>
              <w:t>Nov 2025</w:t>
            </w:r>
          </w:p>
        </w:tc>
        <w:tc>
          <w:tcPr>
            <w:tcW w:type="dxa" w:w="2493"/>
            <w:shd w:val="clear" w:color="auto" w:fill="F0F4FF"/>
          </w:tcPr>
          <w:p>
            <w:r>
              <w:rPr>
                <w:sz w:val="18"/>
              </w:rPr>
              <w:t>Board, CEO, VP Sales</w:t>
            </w:r>
          </w:p>
        </w:tc>
        <w:tc>
          <w:tcPr>
            <w:tcW w:type="dxa" w:w="2493"/>
            <w:shd w:val="clear" w:color="auto" w:fill="F0F4FF"/>
          </w:tcPr>
          <w:p>
            <w:r>
              <w:rPr>
                <w:sz w:val="18"/>
              </w:rPr>
              <w:t>Our CAC in Enterprise is 3x mid-market; optimize for $30-100K deals</w:t>
            </w:r>
          </w:p>
        </w:tc>
      </w:tr>
      <w:tr>
        <w:tc>
          <w:tcPr>
            <w:tcW w:type="dxa" w:w="2493"/>
          </w:tcPr>
          <w:p>
            <w:r>
              <w:rPr>
                <w:sz w:val="18"/>
              </w:rPr>
              <w:t>Build workflow automation, don't acquire</w:t>
            </w:r>
          </w:p>
        </w:tc>
        <w:tc>
          <w:tcPr>
            <w:tcW w:type="dxa" w:w="2493"/>
          </w:tcPr>
          <w:p>
            <w:r>
              <w:rPr>
                <w:sz w:val="18"/>
              </w:rPr>
              <w:t>Dec 2025</w:t>
            </w:r>
          </w:p>
        </w:tc>
        <w:tc>
          <w:tcPr>
            <w:tcW w:type="dxa" w:w="2493"/>
          </w:tcPr>
          <w:p>
            <w:r>
              <w:rPr>
                <w:sz w:val="18"/>
              </w:rPr>
              <w:t>CEO, CTO, CFO</w:t>
            </w:r>
          </w:p>
        </w:tc>
        <w:tc>
          <w:tcPr>
            <w:tcW w:type="dxa" w:w="2493"/>
          </w:tcPr>
          <w:p>
            <w:r>
              <w:rPr>
                <w:sz w:val="18"/>
              </w:rPr>
              <w:t>Acquisition targets (Zapier tier-2 competitors) overvalued at 15x revenue</w:t>
            </w:r>
          </w:p>
        </w:tc>
      </w:tr>
      <w:tr>
        <w:tc>
          <w:tcPr>
            <w:tcW w:type="dxa" w:w="2493"/>
            <w:shd w:val="clear" w:color="auto" w:fill="F0F4FF"/>
          </w:tcPr>
          <w:p>
            <w:r>
              <w:rPr>
                <w:sz w:val="18"/>
              </w:rPr>
              <w:t>Delay mobile redesign to Q2</w:t>
            </w:r>
          </w:p>
        </w:tc>
        <w:tc>
          <w:tcPr>
            <w:tcW w:type="dxa" w:w="2493"/>
            <w:shd w:val="clear" w:color="auto" w:fill="F0F4FF"/>
          </w:tcPr>
          <w:p>
            <w:r>
              <w:rPr>
                <w:sz w:val="18"/>
              </w:rPr>
              <w:t>Dec 2025</w:t>
            </w:r>
          </w:p>
        </w:tc>
        <w:tc>
          <w:tcPr>
            <w:tcW w:type="dxa" w:w="2493"/>
            <w:shd w:val="clear" w:color="auto" w:fill="F0F4FF"/>
          </w:tcPr>
          <w:p>
            <w:r>
              <w:rPr>
                <w:sz w:val="18"/>
              </w:rPr>
              <w:t>Product Leadership</w:t>
            </w:r>
          </w:p>
        </w:tc>
        <w:tc>
          <w:tcPr>
            <w:tcW w:type="dxa" w:w="2493"/>
            <w:shd w:val="clear" w:color="auto" w:fill="F0F4FF"/>
          </w:tcPr>
          <w:p>
            <w:r>
              <w:rPr>
                <w:sz w:val="18"/>
              </w:rPr>
              <w:t>Mobile is 12% of usage; ROI on dashboards/workflows is 4x higher</w:t>
            </w:r>
          </w:p>
        </w:tc>
      </w:tr>
      <w:tr>
        <w:tc>
          <w:tcPr>
            <w:tcW w:type="dxa" w:w="2493"/>
          </w:tcPr>
          <w:p>
            <w:r>
              <w:rPr>
                <w:sz w:val="18"/>
              </w:rPr>
              <w:t>No conversation intelligence in 2026</w:t>
            </w:r>
          </w:p>
        </w:tc>
        <w:tc>
          <w:tcPr>
            <w:tcW w:type="dxa" w:w="2493"/>
          </w:tcPr>
          <w:p>
            <w:r>
              <w:rPr>
                <w:sz w:val="18"/>
              </w:rPr>
              <w:t>Nov 2025</w:t>
            </w:r>
          </w:p>
        </w:tc>
        <w:tc>
          <w:tcPr>
            <w:tcW w:type="dxa" w:w="2493"/>
          </w:tcPr>
          <w:p>
            <w:r>
              <w:rPr>
                <w:sz w:val="18"/>
              </w:rPr>
              <w:t>CTO</w:t>
            </w:r>
          </w:p>
        </w:tc>
        <w:tc>
          <w:tcPr>
            <w:tcW w:type="dxa" w:w="2493"/>
          </w:tcPr>
          <w:p>
            <w:r>
              <w:rPr>
                <w:sz w:val="18"/>
              </w:rPr>
              <w:t>Market saturated (Gong, Chorus, Clari). Focus on CRM-native AI.</w:t>
            </w:r>
          </w:p>
        </w:tc>
      </w:tr>
    </w:tbl>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