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066CC"/>
          <w:sz w:val="36"/>
        </w:rPr>
        <w:t>PM Compass — Repeat Query Consistency Tests</w:t>
      </w:r>
    </w:p>
    <w:p>
      <w:pPr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Purpose: </w:t>
      </w:r>
      <w:r>
        <w:rPr>
          <w:sz w:val="20"/>
        </w:rPr>
        <w:t>Measure LLM non-determinism by running the same query 5 times and comparing results.</w:t>
      </w:r>
    </w:p>
    <w:p>
      <w:r>
        <w:rPr>
          <w:b/>
          <w:color w:val="555555"/>
          <w:sz w:val="20"/>
        </w:rPr>
        <w:t xml:space="preserve">Target: </w:t>
      </w:r>
      <w:r>
        <w:rPr>
          <w:sz w:val="20"/>
        </w:rPr>
        <w:t>Consistency rate &gt;= 80% (4 out of 5 runs return substantially the same answer)</w:t>
      </w:r>
    </w:p>
    <w:p>
      <w:pPr>
        <w:spacing w:before="240"/>
      </w:pPr>
      <w:r>
        <w:rPr>
          <w:b/>
          <w:color w:val="0066CC"/>
          <w:sz w:val="28"/>
        </w:rPr>
        <w:t>Test Protocol</w:t>
      </w:r>
    </w:p>
    <w:p>
      <w:pPr>
        <w:pStyle w:val="ListNumber"/>
      </w:pPr>
      <w:r>
        <w:rPr>
          <w:sz w:val="20"/>
        </w:rPr>
        <w:t>Run each query 5 times with identical parameters</w:t>
      </w:r>
    </w:p>
    <w:p>
      <w:pPr>
        <w:pStyle w:val="ListNumber"/>
      </w:pPr>
      <w:r>
        <w:rPr>
          <w:sz w:val="20"/>
        </w:rPr>
        <w:t>Record each response</w:t>
      </w:r>
    </w:p>
    <w:p>
      <w:pPr>
        <w:pStyle w:val="ListNumber"/>
      </w:pPr>
      <w:r>
        <w:rPr>
          <w:sz w:val="20"/>
        </w:rPr>
        <w:t>Score consistency: Are the key facts, source documents, and conclusions the same?</w:t>
      </w:r>
    </w:p>
    <w:p>
      <w:pPr>
        <w:pStyle w:val="ListNumber"/>
      </w:pPr>
      <w:r>
        <w:rPr>
          <w:sz w:val="20"/>
        </w:rPr>
        <w:t>Flag any run where the answer contradicts another run</w:t>
      </w:r>
    </w:p>
    <w:p>
      <w:pPr>
        <w:spacing w:before="240"/>
      </w:pPr>
      <w:r>
        <w:rPr>
          <w:b/>
          <w:color w:val="0066CC"/>
          <w:sz w:val="28"/>
        </w:rPr>
        <w:t>Queries for Consistency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332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Key Facts Expected (must appear in all 5 runs)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"Why did we choose to build the inbox in-house?"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Mentions: data privacy, CRM context, $180K vs $320K, CEO decision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"What is the RICE score for AI Lead Scoring?"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Returns: 446 (or the component values: 4200 reach, 3 impact, 85% confidence, 24 effort)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"Who owns the Dashboard Builder project?"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Returns: Aisha Patel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"What is the lead scoring model accuracy?"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Returns: AUC 0.87 (or target 0.85)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"What shipped in Q4 2025?"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Returns: Unified Inbox v1, Real-time Notifications, Data API v1, Mobile improvements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"What is NexusCRM's 2026 ARR target?"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Returns: $48M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"What are the top 3 customer feature requests?"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Returns: Custom Dashboards (72%), Workflow Automation (68%), AI Lead Scoring (54%)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"Why was conversation intelligence rejected?"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Returns: Market saturated (Gong, Chorus, Clari), CTO decision, focus on CRM-native AI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"What is the beta launch date for AI Lead Scoring?"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Returns: March 15, 2026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"How many engineers are on the platform team?"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Returns: 8 engineers</w:t>
            </w:r>
          </w:p>
        </w:tc>
      </w:tr>
    </w:tbl>
    <w:p/>
    <w:p>
      <w:pPr>
        <w:spacing w:before="240"/>
      </w:pPr>
      <w:r>
        <w:rPr>
          <w:b/>
          <w:color w:val="0066CC"/>
          <w:sz w:val="28"/>
        </w:rPr>
        <w:t>Scoring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 #</w:t>
            </w:r>
          </w:p>
        </w:tc>
        <w:tc>
          <w:tcPr>
            <w:tcW w:type="dxa" w:w="1425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Run 1 Correct</w:t>
            </w:r>
          </w:p>
        </w:tc>
        <w:tc>
          <w:tcPr>
            <w:tcW w:type="dxa" w:w="1425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Run 2 Correct</w:t>
            </w:r>
          </w:p>
        </w:tc>
        <w:tc>
          <w:tcPr>
            <w:tcW w:type="dxa" w:w="1425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Run 3 Correct</w:t>
            </w:r>
          </w:p>
        </w:tc>
        <w:tc>
          <w:tcPr>
            <w:tcW w:type="dxa" w:w="1425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Run 4 Correct</w:t>
            </w:r>
          </w:p>
        </w:tc>
        <w:tc>
          <w:tcPr>
            <w:tcW w:type="dxa" w:w="1425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Run 5 Correct</w:t>
            </w:r>
          </w:p>
        </w:tc>
        <w:tc>
          <w:tcPr>
            <w:tcW w:type="dxa" w:w="1425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Consistency Rate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0F4FF"/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**Aggregate**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**___/50**</w:t>
            </w:r>
          </w:p>
        </w:tc>
      </w:tr>
    </w:tbl>
    <w:p/>
    <w:p>
      <w:r>
        <w:rPr>
          <w:b/>
          <w:color w:val="555555"/>
          <w:sz w:val="20"/>
        </w:rPr>
        <w:t xml:space="preserve">Target: </w:t>
      </w:r>
      <w:r>
        <w:rPr>
          <w:sz w:val="20"/>
        </w:rPr>
        <w:t>&gt;= 40/50 (80% consistency)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