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39BC" w14:textId="2C2F1ED0" w:rsidR="00926C4A" w:rsidRDefault="003C75BA" w:rsidP="00E22132">
      <w:pPr>
        <w:pStyle w:val="Heading1"/>
        <w:jc w:val="center"/>
      </w:pPr>
      <w:r>
        <w:t>Berry curvature computing method</w:t>
      </w:r>
    </w:p>
    <w:p w14:paraId="26BDDF57" w14:textId="6DB16FE5" w:rsidR="003C75BA" w:rsidRDefault="008373DA" w:rsidP="00E22132">
      <w:pPr>
        <w:jc w:val="center"/>
      </w:pPr>
      <w:r>
        <w:t>Writen by</w:t>
      </w:r>
      <w:r w:rsidR="003C75BA">
        <w:t xml:space="preserve"> Di Yu</w:t>
      </w:r>
    </w:p>
    <w:p w14:paraId="413EF6FC" w14:textId="2FEDE440" w:rsidR="00205775" w:rsidRDefault="00205775" w:rsidP="00E22132">
      <w:pPr>
        <w:jc w:val="center"/>
      </w:pPr>
      <w:r>
        <w:rPr>
          <w:rFonts w:hint="eastAsia"/>
        </w:rPr>
        <w:t>D</w:t>
      </w:r>
      <w:r>
        <w:t>ate: 16/5/2022</w:t>
      </w:r>
    </w:p>
    <w:p w14:paraId="3CBB4288" w14:textId="106257C6" w:rsidR="00C1342E" w:rsidRDefault="00583B29">
      <w:r>
        <w:rPr>
          <w:rFonts w:hint="eastAsia"/>
        </w:rPr>
        <w:t>H</w:t>
      </w:r>
      <w:r>
        <w:t xml:space="preserve">ere, I implemented a project to compute the Berry curvature for </w:t>
      </w:r>
      <w:r w:rsidR="0052180D">
        <w:t>a quantum Hall</w:t>
      </w:r>
      <w:r>
        <w:t xml:space="preserve"> photonic cyrstal with broken time-reversal symmetry.</w:t>
      </w:r>
      <w:r w:rsidR="0077613F">
        <w:t xml:space="preserve"> </w:t>
      </w:r>
      <w:r w:rsidR="00A7224C">
        <w:t xml:space="preserve">The calculation is based on </w:t>
      </w:r>
      <w:r w:rsidR="00A7224C" w:rsidRPr="006332B6">
        <w:rPr>
          <w:i/>
          <w:iCs/>
        </w:rPr>
        <w:t>Comsol</w:t>
      </w:r>
      <w:r w:rsidR="00A7224C">
        <w:t xml:space="preserve"> and </w:t>
      </w:r>
      <w:r w:rsidR="00A7224C" w:rsidRPr="006332B6">
        <w:rPr>
          <w:i/>
          <w:iCs/>
        </w:rPr>
        <w:t>Matlab</w:t>
      </w:r>
      <w:r w:rsidR="00107F09">
        <w:t>, where fields are extracted from Comsol and processed in Matlab.</w:t>
      </w:r>
      <w:r w:rsidR="00A7224C">
        <w:t xml:space="preserve"> </w:t>
      </w:r>
    </w:p>
    <w:p w14:paraId="11C28287" w14:textId="77777777" w:rsidR="00C1342E" w:rsidRDefault="00C1342E"/>
    <w:p w14:paraId="545A32A8" w14:textId="1666899A" w:rsidR="00E22132" w:rsidRDefault="00A7224C">
      <w:r>
        <w:t>To numerically compute Berry curvature</w:t>
      </w:r>
      <w:r w:rsidR="003366AB">
        <w:t xml:space="preserve">, we prefer a </w:t>
      </w:r>
      <w:r w:rsidR="00396B3D">
        <w:t xml:space="preserve">formula </w:t>
      </w:r>
      <w:r w:rsidR="001A3297">
        <w:t xml:space="preserve">that works </w:t>
      </w:r>
      <w:r w:rsidR="001A3297">
        <w:t>in a discretized Brillouin zone</w:t>
      </w:r>
      <w:r w:rsidR="00A16C0B">
        <w:t xml:space="preserve"> and is gauge-independent.</w:t>
      </w:r>
      <w:r w:rsidR="00482E96">
        <w:t xml:space="preserve"> </w:t>
      </w:r>
      <w:r w:rsidR="007C7219">
        <w:t xml:space="preserve">The efficient method developed by </w:t>
      </w:r>
      <w:hyperlink r:id="rId4" w:history="1">
        <w:r w:rsidR="00482E96" w:rsidRPr="002E5635">
          <w:rPr>
            <w:rStyle w:val="Hyperlink"/>
            <w:i/>
            <w:iCs/>
          </w:rPr>
          <w:t>Fukui et al. (2005)</w:t>
        </w:r>
      </w:hyperlink>
      <w:r w:rsidR="007C7219">
        <w:t xml:space="preserve"> </w:t>
      </w:r>
      <w:r w:rsidR="009E312D">
        <w:t>satisfies these requirements and is adopted in my computation.</w:t>
      </w:r>
    </w:p>
    <w:p w14:paraId="6098D950" w14:textId="62D5B138" w:rsidR="0052180D" w:rsidRDefault="0052180D"/>
    <w:p w14:paraId="3AFCA569" w14:textId="02FD2436" w:rsidR="0052180D" w:rsidRDefault="0052180D">
      <w:r>
        <w:rPr>
          <w:rFonts w:hint="eastAsia"/>
        </w:rPr>
        <w:t>T</w:t>
      </w:r>
      <w:r>
        <w:t xml:space="preserve">he </w:t>
      </w:r>
      <w:r w:rsidR="00550BAB">
        <w:t xml:space="preserve">unit cell of </w:t>
      </w:r>
      <w:r w:rsidR="000E503E">
        <w:t>the</w:t>
      </w:r>
      <w:r w:rsidR="00550BAB">
        <w:t xml:space="preserve"> </w:t>
      </w:r>
      <w:r>
        <w:t>photonic crystal</w:t>
      </w:r>
      <w:r w:rsidR="008B5FBA">
        <w:t xml:space="preserve"> is a square</w:t>
      </w:r>
      <w:r w:rsidR="00F0273E">
        <w:t>, where a cylinder made of gyromagnetic material is surrounded by air.</w:t>
      </w:r>
      <w:r w:rsidR="007257F3">
        <w:t xml:space="preserve"> </w:t>
      </w:r>
      <w:r w:rsidR="006E21EA">
        <w:t>Detai</w:t>
      </w:r>
      <w:r w:rsidR="00CE4042">
        <w:t xml:space="preserve">ls about setting up the Comsol simulation can be found in </w:t>
      </w:r>
      <w:hyperlink r:id="rId5" w:history="1">
        <w:r w:rsidR="001605B9" w:rsidRPr="002E5635">
          <w:rPr>
            <w:rStyle w:val="Hyperlink"/>
            <w:i/>
            <w:iCs/>
          </w:rPr>
          <w:t>W</w:t>
        </w:r>
        <w:r w:rsidR="001605B9" w:rsidRPr="002E5635">
          <w:rPr>
            <w:rStyle w:val="Hyperlink"/>
            <w:i/>
            <w:iCs/>
          </w:rPr>
          <w:t>a</w:t>
        </w:r>
        <w:r w:rsidR="001605B9" w:rsidRPr="002E5635">
          <w:rPr>
            <w:rStyle w:val="Hyperlink"/>
            <w:i/>
            <w:iCs/>
          </w:rPr>
          <w:t>nt et al. (2020)</w:t>
        </w:r>
      </w:hyperlink>
      <w:r w:rsidR="002E5635">
        <w:t xml:space="preserve">. In particular, I </w:t>
      </w:r>
      <w:r w:rsidR="006211A3">
        <w:t xml:space="preserve">successfully </w:t>
      </w:r>
      <w:r w:rsidR="00E5648F">
        <w:t>reproduce Fig. 3</w:t>
      </w:r>
      <w:r w:rsidR="00451072">
        <w:t xml:space="preserve"> of that paper</w:t>
      </w:r>
      <w:r w:rsidR="00657A08">
        <w:t>, see below:</w:t>
      </w:r>
    </w:p>
    <w:p w14:paraId="29075AED" w14:textId="4E6CAA57" w:rsidR="00131F1E" w:rsidRDefault="00B87CF5" w:rsidP="007872AE">
      <w:pPr>
        <w:jc w:val="center"/>
      </w:pPr>
      <w:r w:rsidRPr="00B87CF5">
        <w:drawing>
          <wp:inline distT="0" distB="0" distL="0" distR="0" wp14:anchorId="708EA964" wp14:editId="1FC274F6">
            <wp:extent cx="5274310" cy="3724910"/>
            <wp:effectExtent l="0" t="0" r="254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54C" w14:textId="6E051858" w:rsidR="00A454B8" w:rsidRDefault="00A454B8" w:rsidP="00A454B8"/>
    <w:p w14:paraId="5483C999" w14:textId="2ADD26A4" w:rsidR="00A454B8" w:rsidRDefault="00A454B8" w:rsidP="00A454B8">
      <w:r>
        <w:t>Some u</w:t>
      </w:r>
      <w:r>
        <w:rPr>
          <w:rFonts w:hint="eastAsia"/>
        </w:rPr>
        <w:t>seful</w:t>
      </w:r>
      <w:r>
        <w:t xml:space="preserve"> materials:</w:t>
      </w:r>
    </w:p>
    <w:p w14:paraId="01202505" w14:textId="7486B31E" w:rsidR="00B952B2" w:rsidRPr="002E5635" w:rsidRDefault="00B00C84" w:rsidP="00A454B8">
      <w:pPr>
        <w:rPr>
          <w:rFonts w:hint="eastAsia"/>
        </w:rPr>
      </w:pPr>
      <w:hyperlink r:id="rId7" w:history="1">
        <w:r w:rsidR="00B952B2" w:rsidRPr="00B00C84">
          <w:rPr>
            <w:rStyle w:val="Hyperlink"/>
            <w:rFonts w:hint="eastAsia"/>
            <w:i/>
            <w:iCs/>
          </w:rPr>
          <w:t>P</w:t>
        </w:r>
        <w:r w:rsidR="00B952B2" w:rsidRPr="00B00C84">
          <w:rPr>
            <w:rStyle w:val="Hyperlink"/>
            <w:i/>
            <w:iCs/>
          </w:rPr>
          <w:t>az et al. (2019)</w:t>
        </w:r>
      </w:hyperlink>
      <w:r w:rsidR="00B952B2">
        <w:t xml:space="preserve"> </w:t>
      </w:r>
      <w:r w:rsidR="00A773EC">
        <w:t>gives a friendly tutorial for computing Berry curvature. In particular, it clarifies how to compute the inner product</w:t>
      </w:r>
      <w:r w:rsidR="00497B9F">
        <w:t>s of fields</w:t>
      </w:r>
      <w:r>
        <w:t>.</w:t>
      </w:r>
      <w:r w:rsidR="002D74E5">
        <w:t xml:space="preserve"> </w:t>
      </w:r>
      <w:hyperlink r:id="rId8" w:history="1">
        <w:r w:rsidR="00306E1D" w:rsidRPr="00BC15F5">
          <w:rPr>
            <w:rStyle w:val="Hyperlink"/>
            <w:i/>
            <w:iCs/>
          </w:rPr>
          <w:t>Bisharat et al. (2021)</w:t>
        </w:r>
      </w:hyperlink>
      <w:r w:rsidR="00306E1D">
        <w:t xml:space="preserve"> could be useful as well since it provides an open-access code</w:t>
      </w:r>
      <w:r w:rsidR="00D7401C">
        <w:t xml:space="preserve"> to compute Berry curvature</w:t>
      </w:r>
      <w:r w:rsidR="004C7D7A">
        <w:t xml:space="preserve"> (though maybe not </w:t>
      </w:r>
      <w:r w:rsidR="004C7D7A">
        <w:rPr>
          <w:rFonts w:hint="eastAsia"/>
        </w:rPr>
        <w:t>e</w:t>
      </w:r>
      <w:r w:rsidR="004C7D7A">
        <w:t>asy-to-use)</w:t>
      </w:r>
      <w:r w:rsidR="00D7401C">
        <w:t xml:space="preserve">. </w:t>
      </w:r>
    </w:p>
    <w:sectPr w:rsidR="00B952B2" w:rsidRPr="002E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5A"/>
    <w:rsid w:val="000000B7"/>
    <w:rsid w:val="000E503E"/>
    <w:rsid w:val="00107F09"/>
    <w:rsid w:val="00131F1E"/>
    <w:rsid w:val="00134E2D"/>
    <w:rsid w:val="001605B9"/>
    <w:rsid w:val="001A3297"/>
    <w:rsid w:val="00205775"/>
    <w:rsid w:val="002D74E5"/>
    <w:rsid w:val="002E5635"/>
    <w:rsid w:val="00306E1D"/>
    <w:rsid w:val="003366AB"/>
    <w:rsid w:val="00396B3D"/>
    <w:rsid w:val="003C75BA"/>
    <w:rsid w:val="00451072"/>
    <w:rsid w:val="00482E96"/>
    <w:rsid w:val="00497B9F"/>
    <w:rsid w:val="004C7D7A"/>
    <w:rsid w:val="0052180D"/>
    <w:rsid w:val="00550BAB"/>
    <w:rsid w:val="00583B29"/>
    <w:rsid w:val="006211A3"/>
    <w:rsid w:val="0063148E"/>
    <w:rsid w:val="006332B6"/>
    <w:rsid w:val="00657A08"/>
    <w:rsid w:val="006E21EA"/>
    <w:rsid w:val="006E241A"/>
    <w:rsid w:val="0071659A"/>
    <w:rsid w:val="007257F3"/>
    <w:rsid w:val="0077613F"/>
    <w:rsid w:val="007872AE"/>
    <w:rsid w:val="007C7219"/>
    <w:rsid w:val="008373DA"/>
    <w:rsid w:val="008B5FBA"/>
    <w:rsid w:val="008C525A"/>
    <w:rsid w:val="00926C4A"/>
    <w:rsid w:val="009E312D"/>
    <w:rsid w:val="00A16C0B"/>
    <w:rsid w:val="00A454B8"/>
    <w:rsid w:val="00A7224C"/>
    <w:rsid w:val="00A773EC"/>
    <w:rsid w:val="00B00C84"/>
    <w:rsid w:val="00B87CF5"/>
    <w:rsid w:val="00B952B2"/>
    <w:rsid w:val="00BC15F5"/>
    <w:rsid w:val="00C1342E"/>
    <w:rsid w:val="00CE4042"/>
    <w:rsid w:val="00D7401C"/>
    <w:rsid w:val="00E22132"/>
    <w:rsid w:val="00E5648F"/>
    <w:rsid w:val="00F0273E"/>
    <w:rsid w:val="00F83639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E9D8"/>
  <w15:chartTrackingRefBased/>
  <w15:docId w15:val="{0386D088-5F75-43E6-A512-42A8BF1E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2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3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E5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4.001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qute.201900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nk-springer-com.tudelft.idm.oclc.org/article/10.1007/s12200-019-0963-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xiv.org/abs/cond-mat/0503172v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Yu</dc:creator>
  <cp:keywords/>
  <dc:description/>
  <cp:lastModifiedBy>Di Yu</cp:lastModifiedBy>
  <cp:revision>51</cp:revision>
  <dcterms:created xsi:type="dcterms:W3CDTF">2022-05-16T21:43:00Z</dcterms:created>
  <dcterms:modified xsi:type="dcterms:W3CDTF">2022-05-16T22:30:00Z</dcterms:modified>
</cp:coreProperties>
</file>