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Fraud Prevention and Account Takeover Mitigation Guide</w:t>
      </w:r>
    </w:p>
    <w:p>
      <w:pPr>
        <w:pStyle w:val="Heading2"/>
      </w:pPr>
      <w:r>
        <w:t>Section: Wire Transfer Authentication Safeguards</w:t>
      </w:r>
    </w:p>
    <w:p>
      <w:r>
        <w:t>All outbound domestic wire transfers exceeding $250,000 and international wire transfers exceeding $50,000 require out-of-band biometric or dual-custody verbal authorization. Callback numbers must match pre-registered corporate profiles.</w:t>
      </w:r>
    </w:p>
    <w:p>
      <w:pPr>
        <w:pStyle w:val="Heading2"/>
      </w:pPr>
      <w:r>
        <w:t>Section: Identity Verification Matrix</w:t>
      </w:r>
    </w:p>
    <w:p>
      <w:r>
        <w:t>New account onboarding mandates multi-factor identity verification including government-issued photo ID barcode validation, facial liveness detection matching, and synthetic identity risk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