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Standard Operating Procedure: Telehealth Patient Intake</w:t>
      </w:r>
    </w:p>
    <w:p>
      <w:pPr>
        <w:pStyle w:val="Heading2"/>
      </w:pPr>
      <w:r>
        <w:t>Section: Patient Verification and Consent</w:t>
      </w:r>
    </w:p>
    <w:p>
      <w:r>
        <w:t>Prior to initiating telehealth evaluation, all patients must provide written or verified verbal informed consent. The clinician must verify photographic identification and state medical licensing jurisdiction.</w:t>
      </w:r>
    </w:p>
    <w:p>
      <w:pPr>
        <w:pStyle w:val="Heading2"/>
      </w:pPr>
      <w:r>
        <w:t>Section: Pediatric Telemedicine Safeguards</w:t>
      </w:r>
    </w:p>
    <w:p>
      <w:r>
        <w:t>For patients aged under 18 years, a parent or designated legal guardian must be present on screen throughout the session. Weight-based dosing for oral antibiotics must be verified against growth charts before electronic signature.</w:t>
      </w:r>
    </w:p>
    <w:p>
      <w:pPr>
        <w:pStyle w:val="Heading2"/>
      </w:pPr>
      <w:r>
        <w:t>Section: Technical Redundancy Protocol</w:t>
      </w:r>
    </w:p>
    <w:p>
      <w:r>
        <w:t>In the event of audiovisual connection failure lasting longer than 90 seconds, the clinician must immediately transition to telephonic audio call. If the patient fails to respond within 5 minutes, wellness check escalation is authorized.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