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Site Reliability Engineering: Incident Response Framework</w:t>
      </w:r>
    </w:p>
    <w:p>
      <w:pPr>
        <w:pStyle w:val="Heading2"/>
      </w:pPr>
      <w:r>
        <w:t>Section: Incident Severity Definitions</w:t>
      </w:r>
    </w:p>
    <w:p>
      <w:r>
        <w:t>Severity 1 (Critical): Total loss of core customer-facing service availability or data corruption. SLA Response acknowledgment time is 5 minutes. Incident Commander required immediately.</w:t>
        <w:br/>
        <w:t>Severity 2 (Major): Partial service impairment with redundancy fallback. SLA Response acknowledgment time is 15 minutes.</w:t>
        <w:br/>
        <w:t>Severity 3 (Minor): Non-critical degradation with zero direct end-user impact. Acknowledgment within 60 minutes.</w:t>
      </w:r>
    </w:p>
    <w:p>
      <w:pPr>
        <w:pStyle w:val="Heading2"/>
      </w:pPr>
      <w:r>
        <w:t>Section: Kubernetes Pod Crash Recovery Sequence</w:t>
      </w:r>
    </w:p>
    <w:p>
      <w:r>
        <w:t>Step 1: Check pod status and events using kubectl describe pod.</w:t>
        <w:br/>
        <w:t>Step 2: Inspect container termination logs with kubectl logs --previous to capture stack traces before restart.</w:t>
        <w:br/>
        <w:t>Step 3: Cordon and drain the degraded worker node if memory pressure or kernel panics are detected.</w:t>
        <w:br/>
        <w:t>Step 4: Scale replica deployment or trigger rolling rollback if image regression caused CrashLoopBackOff.</w:t>
        <w:br/>
        <w:t>Step 5: Validate health checks (liveness and readiness probes) across the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