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Yu Gothic" w:cs="Yu Gothic" w:eastAsia="Yu Gothic" w:hAnsi="Yu Gothic"/>
          <w:b/>
          <w:bCs/>
          <w:color w:val="1A1A2E"/>
          <w:sz w:val="40"/>
          <w:szCs w:val="40"/>
        </w:rPr>
        <w:t xml:space="preserve">Universal Care OS</w:t>
      </w:r>
    </w:p>
    <w:p>
      <w:pPr>
        <w:spacing w:before="200"/>
        <w:jc w:val="center"/>
      </w:pPr>
      <w:r>
        <w:rPr>
          <w:rFonts w:ascii="Yu Gothic" w:cs="Yu Gothic" w:eastAsia="Yu Gothic" w:hAnsi="Yu Gothic"/>
          <w:b/>
          <w:bCs/>
          <w:color w:val="1A1A2E"/>
          <w:sz w:val="32"/>
          <w:szCs w:val="32"/>
        </w:rPr>
        <w:t xml:space="preserve">先行技術調査報告書（簡易版）</w:t>
      </w:r>
    </w:p>
    <w:p>
      <w:pPr>
        <w:spacing w:before="600"/>
        <w:jc w:val="center"/>
      </w:pPr>
      <w:r>
        <w:rPr>
          <w:rFonts w:ascii="Yu Gothic" w:cs="Yu Gothic" w:eastAsia="Yu Gothic" w:hAnsi="Yu Gothic"/>
          <w:color w:val="4A4A45"/>
          <w:sz w:val="24"/>
          <w:szCs w:val="24"/>
        </w:rPr>
        <w:t xml:space="preserve">特許3件の先行技術調査結果と特許性評価</w:t>
      </w:r>
    </w:p>
    <w:p>
      <w:pPr>
        <w:spacing w:before="800"/>
        <w:jc w:val="center"/>
      </w:pPr>
      <w:r>
        <w:rPr>
          <w:rFonts w:ascii="Yu Gothic" w:cs="Yu Gothic" w:eastAsia="Yu Gothic" w:hAnsi="Yu Gothic"/>
          <w:sz w:val="21"/>
          <w:szCs w:val="21"/>
        </w:rPr>
        <w:t xml:space="preserve">作成日: 2026年3月24日</w:t>
      </w:r>
    </w:p>
    <w:p>
      <w:pPr>
        <w:jc w:val="center"/>
      </w:pPr>
      <w:r>
        <w:rPr>
          <w:rFonts w:ascii="Yu Gothic" w:cs="Yu Gothic" w:eastAsia="Yu Gothic" w:hAnsi="Yu Gothic"/>
          <w:sz w:val="21"/>
          <w:szCs w:val="21"/>
        </w:rPr>
        <w:t xml:space="preserve">作成者: 有限会社FDSi / 永山 剛</w:t>
      </w:r>
    </w:p>
    <w:p>
      <w:pPr>
        <w:spacing w:before="200"/>
        <w:jc w:val="center"/>
      </w:pPr>
      <w:r>
        <w:rPr>
          <w:rFonts w:ascii="Yu Gothic" w:cs="Yu Gothic" w:eastAsia="Yu Gothic" w:hAnsi="Yu Gothic"/>
          <w:color w:val="888888"/>
          <w:sz w:val="19"/>
          <w:szCs w:val="19"/>
        </w:rPr>
        <w:t xml:space="preserve">調査方法: Google Patents・Web検索・学術論文DBを用いた簡易調査</w:t>
      </w:r>
    </w:p>
    <w:p>
      <w:pPr>
        <w:jc w:val="center"/>
      </w:pPr>
      <w:r>
        <w:rPr>
          <w:rFonts w:ascii="Yu Gothic" w:cs="Yu Gothic" w:eastAsia="Yu Gothic" w:hAnsi="Yu Gothic"/>
          <w:color w:val="CC0000"/>
          <w:sz w:val="19"/>
          <w:szCs w:val="19"/>
        </w:rPr>
        <w:t xml:space="preserve">※弁理士による正式な先行技術調査は別途実施予定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1. 特許候補(1): AI危険ループ検知システム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1.1 検索条件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検索DB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検索キーワード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J-PlatPat (Web)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福祉 虐待 AI 検知 予防 障害者施設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Google Patents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abuse detection welfare facility AI care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Google Patents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abuse prevention AI disability care facility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Google Scholar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虐待 予兆検知 AI 支援記録 パターン分析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学術論文DB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abuse prediction NLP care record pattern analysis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1.2 発見された関連技術・特許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(A) 産総研 AiCANシステム（日本）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開発者: </w:t>
      </w:r>
      <w:r>
        <w:rPr>
          <w:rFonts w:ascii="Yu Gothic" w:cs="Yu Gothic" w:eastAsia="Yu Gothic" w:hAnsi="Yu Gothic"/>
          <w:sz w:val="21"/>
          <w:szCs w:val="21"/>
        </w:rPr>
        <w:t xml:space="preserve">産業技術総合研究所 人工知能研究センター、現株式AiCAN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特許出願: </w:t>
      </w:r>
      <w:r>
        <w:rPr>
          <w:rFonts w:ascii="Yu Gothic" w:cs="Yu Gothic" w:eastAsia="Yu Gothic" w:hAnsi="Yu Gothic"/>
          <w:sz w:val="21"/>
          <w:szCs w:val="21"/>
        </w:rPr>
        <w:t xml:space="preserve">未確認（J-PlatPat・Google Patentsで特許番号検出できず）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技術: </w:t>
      </w:r>
      <w:r>
        <w:rPr>
          <w:rFonts w:ascii="Yu Gothic" w:cs="Yu Gothic" w:eastAsia="Yu Gothic" w:hAnsi="Yu Gothic"/>
          <w:sz w:val="21"/>
          <w:szCs w:val="21"/>
        </w:rPr>
        <w:t xml:space="preserve">勾配ブースティング、確率潜在意味分析、ベイジアンネットワーク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対象: </w:t>
      </w:r>
      <w:r>
        <w:rPr>
          <w:rFonts w:ascii="Yu Gothic" w:cs="Yu Gothic" w:eastAsia="Yu Gothic" w:hAnsi="Yu Gothic"/>
          <w:sz w:val="21"/>
          <w:szCs w:val="21"/>
        </w:rPr>
        <w:t xml:space="preserve">児童虐待（児童相談所向け）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入力: </w:t>
      </w:r>
      <w:r>
        <w:rPr>
          <w:rFonts w:ascii="Yu Gothic" w:cs="Yu Gothic" w:eastAsia="Yu Gothic" w:hAnsi="Yu Gothic"/>
          <w:sz w:val="21"/>
          <w:szCs w:val="21"/>
        </w:rPr>
        <w:t xml:space="preserve">児童の年齢・性別・アセスメントデータ（傷の位置、家族構成等）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出力: </w:t>
      </w:r>
      <w:r>
        <w:rPr>
          <w:rFonts w:ascii="Yu Gothic" w:cs="Yu Gothic" w:eastAsia="Yu Gothic" w:hAnsi="Yu Gothic"/>
          <w:sz w:val="21"/>
          <w:szCs w:val="21"/>
        </w:rPr>
        <w:t xml:space="preserve">重篤度・一時保護必要性・再発確率・対応日数予測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(B) US20240212804A1（Therap Services LLC、米国）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名称: </w:t>
      </w:r>
      <w:r>
        <w:rPr>
          <w:rFonts w:ascii="Yu Gothic" w:cs="Yu Gothic" w:eastAsia="Yu Gothic" w:hAnsi="Yu Gothic"/>
          <w:sz w:val="21"/>
          <w:szCs w:val="21"/>
        </w:rPr>
        <w:t xml:space="preserve">Automated AI ML for PII Identification in Monitored Environment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出願日: </w:t>
      </w:r>
      <w:r>
        <w:rPr>
          <w:rFonts w:ascii="Yu Gothic" w:cs="Yu Gothic" w:eastAsia="Yu Gothic" w:hAnsi="Yu Gothic"/>
          <w:sz w:val="21"/>
          <w:szCs w:val="21"/>
        </w:rPr>
        <w:t xml:space="preserve">2024年2月2日、登録日 2025年11月4日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技術: </w:t>
      </w:r>
      <w:r>
        <w:rPr>
          <w:rFonts w:ascii="Yu Gothic" w:cs="Yu Gothic" w:eastAsia="Yu Gothic" w:hAnsi="Yu Gothic"/>
          <w:sz w:val="21"/>
          <w:szCs w:val="21"/>
        </w:rPr>
        <w:t xml:space="preserve">RGB/赤外線カメラ・バイオメトリクスセンサーによるリアルタイム監視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対象: </w:t>
      </w:r>
      <w:r>
        <w:rPr>
          <w:rFonts w:ascii="Yu Gothic" w:cs="Yu Gothic" w:eastAsia="Yu Gothic" w:hAnsi="Yu Gothic"/>
          <w:sz w:val="21"/>
          <w:szCs w:val="21"/>
        </w:rPr>
        <w:t xml:space="preserve">ケア施設全般（高齢者・障害者）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検知方法: </w:t>
      </w:r>
      <w:r>
        <w:rPr>
          <w:rFonts w:ascii="Yu Gothic" w:cs="Yu Gothic" w:eastAsia="Yu Gothic" w:hAnsi="Yu Gothic"/>
          <w:sz w:val="21"/>
          <w:szCs w:val="21"/>
        </w:rPr>
        <w:t xml:space="preserve">カメラ映像からの行動認識（転倒・暴行・攻撃）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(C) US7761310B2（米国）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名称: </w:t>
      </w:r>
      <w:r>
        <w:rPr>
          <w:rFonts w:ascii="Yu Gothic" w:cs="Yu Gothic" w:eastAsia="Yu Gothic" w:hAnsi="Yu Gothic"/>
          <w:sz w:val="21"/>
          <w:szCs w:val="21"/>
        </w:rPr>
        <w:t xml:space="preserve">Methods and systems for monitoring quality at a healthcare facility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技術: </w:t>
      </w:r>
      <w:r>
        <w:rPr>
          <w:rFonts w:ascii="Yu Gothic" w:cs="Yu Gothic" w:eastAsia="Yu Gothic" w:hAnsi="Yu Gothic"/>
          <w:sz w:val="21"/>
          <w:szCs w:val="21"/>
        </w:rPr>
        <w:t xml:space="preserve">RFIDデバイス・センサーによる施設内監視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対象: </w:t>
      </w:r>
      <w:r>
        <w:rPr>
          <w:rFonts w:ascii="Yu Gothic" w:cs="Yu Gothic" w:eastAsia="Yu Gothic" w:hAnsi="Yu Gothic"/>
          <w:sz w:val="21"/>
          <w:szCs w:val="21"/>
        </w:rPr>
        <w:t xml:space="preserve">患者虐待防止（ケアギバー・訪問者・他患者からの保護）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(D) 学術研究（NLP×虐待検知）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PLOS ONE (2021): NLPで小児電子カルテから児童虐待を検出。精度ROC-AUC 0.93。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BMC Medical Informatics (2023): 小児プライマリケアでNLPによる虐待検出。ICDコードの11倍の検出率。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npj Mental Health Research (2024): 臨床ノートから暴力予測。深層学習で3日前に予測可能。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こども家庭庁 (2025): AI児童虐待判定システムの導入を見送り。精度不十分が理由。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1.3 差異分析と特許性評価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比較項目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先行技術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CareOSの発明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対象施設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児童相談所 / 高齢者施設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知的障害者福祉施設（新規領域）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検知データ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センサー映像 / アセスメント項目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支援記録の時系列テキストデータ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検知モデル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確率モデル / 行動認識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13段階×4層マトリックス構造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検知パターン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単発イベント（転倒・攻撃）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3種の危険ループ（行動パターンの遷移）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出力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リスクスコア / アラート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虐待5類型別リスク + ループ特定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特許性評価（更新）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評価項目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評価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根拠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新規性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知的障害者施設の支援記録から虐待予兆を検知する特許は皆無。先行技術は全て児童虐待またはセンサーベース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進歩性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マトリックス構造（13段階×4層）に基づく時系列パターン認識は独自。各要素単体は公知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産業利用性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全国約8,000施設に適用可能。虐待防止法との整合性高い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/>
      </w:pPr>
      <w:r>
        <w:rPr>
          <w:rFonts w:ascii="Yu Gothic" w:cs="Yu Gothic" w:eastAsia="Yu Gothic" w:hAnsi="Yu Gothic"/>
          <w:color w:val="CC0000"/>
          <w:sz w:val="21"/>
          <w:szCs w:val="21"/>
        </w:rPr>
        <w:t xml:space="preserve">※ 重要: 産総研AiCANは特許が確認できないが、学術論文が多数存在。「支援記録のテキストからの時系列パターン検知」と「13×4マトリックス構造」が差別化の核。請求項でこの2点を明確に定義することを推奨。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2. 特許候補(2): 4段階情報開示×段階的課金モデル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2.1 検索条件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検索DB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検索キーワード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Google Patents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tiered access personal information pricing model disclosure level SaaS healthcare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Google Patents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data access tiered/graduated pricing consent disclosure personal health information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Web検索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情報開示 段階 課金 SaaS 個人情報 レベル別 アクセス制御 料金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学術DB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福祉 アクセスレベル 情報共有 段階的 開示 施設間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2.2 発見された関連技術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直接的な先行特許は発見されなかった。以下の関連技術が存在する: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(A) SaaS段階的料金モデル（一般）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SaaS業界では利用量・機能レベルに応じた段階的課金は一般的。ただし、「個人情報の開示レベル」を課金の変数とする仕組みは発見されず。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(B) GDPR段階的オプトアウト（欧州）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ドイツGDNG法ではデータ利用の段階的オプトアウトを義務化。ただし、これは「プライバシー保護」が目的であり、CareOSの「開示を促進する経済的インセンティブ」とは真逆のアプローチ。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(C) 介護情報基盤（2026年開始、厚労省）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介護情報基盤は施設間情報共有を推進するが、情報開示レベルと料金を連動させる仕組みはない。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2.3 差異分析と特許性評価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評価項目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評価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根拠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新規性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「情報開示レベル×課金×AI精度向上」の3要素連動は未発見。ただし各要素単体は公知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進歩性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ビジネスモデル特許として「自然法則を利用した技術的思想」の要件充足が課題。暗号化・同意管理・AI連携が技術的構成に該当するかがポイント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産業利用性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福祉施設のデータ共有促進に直結。社会的インパクト大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/>
      </w:pPr>
      <w:r>
        <w:rPr>
          <w:rFonts w:ascii="Yu Gothic" w:cs="Yu Gothic" w:eastAsia="Yu Gothic" w:hAnsi="Yu Gothic"/>
          <w:color w:val="CC0000"/>
          <w:sz w:val="21"/>
          <w:szCs w:val="21"/>
        </w:rPr>
        <w:t xml:space="preserve">※ 重要: ビジネスモデル特許としての成立性が最大のリスク。請求項で暗号化・同意管理テーブル・AIフィードバックループの技術的構成を具体的に記載することを推奨。単なる「料金設定」との差別化が必須。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3. 特許候補(3): 分岐入力UIパイプライン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3.1 検索条件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検索DB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検索キーワード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Google Patents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adaptive input / dynamic form electronic health record care tap selection OCR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Google Patents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branching input / adaptive form electronic health record OCR morphological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Web検索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介護 電子カルテ 分岐入力 タップ 選択肢 UI OCR 手書き テンプレート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Web検索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電子カルテ 入力支援 選択肢自動生成 形態素解析 福祉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3.2 発見された関連特許・技術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(A) US10437961B2（DrChrono / EverHealth Solutions、米国）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名称: </w:t>
      </w:r>
      <w:r>
        <w:rPr>
          <w:rFonts w:ascii="Yu Gothic" w:cs="Yu Gothic" w:eastAsia="Yu Gothic" w:hAnsi="Yu Gothic"/>
          <w:sz w:val="21"/>
          <w:szCs w:val="21"/>
        </w:rPr>
        <w:t xml:space="preserve">Dynamic Forms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出願日: </w:t>
      </w:r>
      <w:r>
        <w:rPr>
          <w:rFonts w:ascii="Yu Gothic" w:cs="Yu Gothic" w:eastAsia="Yu Gothic" w:hAnsi="Yu Gothic"/>
          <w:sz w:val="21"/>
          <w:szCs w:val="21"/>
        </w:rPr>
        <w:t xml:space="preserve">2015年9月16日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技術: </w:t>
      </w:r>
      <w:r>
        <w:rPr>
          <w:rFonts w:ascii="Yu Gothic" w:cs="Yu Gothic" w:eastAsia="Yu Gothic" w:hAnsi="Yu Gothic"/>
          <w:sz w:val="21"/>
          <w:szCs w:val="21"/>
        </w:rPr>
        <w:t xml:space="preserve">医療フォームの動的生成、条件分岐、タブレット入力、FAX OCR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CareOSとの差異: </w:t>
      </w:r>
      <w:r>
        <w:rPr>
          <w:rFonts w:ascii="Yu Gothic" w:cs="Yu Gothic" w:eastAsia="Yu Gothic" w:hAnsi="Yu Gothic"/>
          <w:sz w:val="21"/>
          <w:szCs w:val="21"/>
        </w:rPr>
        <w:t xml:space="preserve">OCRはFAXのみ。手書き記録の形態素解析なし。選択肢は医師が事前設定（履歴データからの自動生成なし）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(B) US20170323061A1（Nuance Communications、米国）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名称: </w:t>
      </w:r>
      <w:r>
        <w:rPr>
          <w:rFonts w:ascii="Yu Gothic" w:cs="Yu Gothic" w:eastAsia="Yu Gothic" w:hAnsi="Yu Gothic"/>
          <w:sz w:val="21"/>
          <w:szCs w:val="21"/>
        </w:rPr>
        <w:t xml:space="preserve">User interfaces for medical documentation utilizing automated NLU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出願日: </w:t>
      </w:r>
      <w:r>
        <w:rPr>
          <w:rFonts w:ascii="Yu Gothic" w:cs="Yu Gothic" w:eastAsia="Yu Gothic" w:hAnsi="Yu Gothic"/>
          <w:sz w:val="21"/>
          <w:szCs w:val="21"/>
        </w:rPr>
        <w:t xml:space="preserve">2016年12月7日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技術: </w:t>
      </w:r>
      <w:r>
        <w:rPr>
          <w:rFonts w:ascii="Yu Gothic" w:cs="Yu Gothic" w:eastAsia="Yu Gothic" w:hAnsi="Yu Gothic"/>
          <w:sz w:val="21"/>
          <w:szCs w:val="21"/>
        </w:rPr>
        <w:t xml:space="preserve">NLUエンジンで自由記述から診療コードを自動抽出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CareOSとの差異: </w:t>
      </w:r>
      <w:r>
        <w:rPr>
          <w:rFonts w:ascii="Yu Gothic" w:cs="Yu Gothic" w:eastAsia="Yu Gothic" w:hAnsi="Yu Gothic"/>
          <w:sz w:val="21"/>
          <w:szCs w:val="21"/>
        </w:rPr>
        <w:t xml:space="preserve">現在の診察テキストからコード提案。履歴データの統計分析からの選択肢生成なし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(C) 特許第7179268号（TXP Medical、日本）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名称: </w:t>
      </w:r>
      <w:r>
        <w:rPr>
          <w:rFonts w:ascii="Yu Gothic" w:cs="Yu Gothic" w:eastAsia="Yu Gothic" w:hAnsi="Yu Gothic"/>
          <w:sz w:val="21"/>
          <w:szCs w:val="21"/>
        </w:rPr>
        <w:t xml:space="preserve">診療情報管理システム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登録日: </w:t>
      </w:r>
      <w:r>
        <w:rPr>
          <w:rFonts w:ascii="Yu Gothic" w:cs="Yu Gothic" w:eastAsia="Yu Gothic" w:hAnsi="Yu Gothic"/>
          <w:sz w:val="21"/>
          <w:szCs w:val="21"/>
        </w:rPr>
        <w:t xml:space="preserve">2022年11月18日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技術: </w:t>
      </w:r>
      <w:r>
        <w:rPr>
          <w:rFonts w:ascii="Yu Gothic" w:cs="Yu Gothic" w:eastAsia="Yu Gothic" w:hAnsi="Yu Gothic"/>
          <w:sz w:val="21"/>
          <w:szCs w:val="21"/>
        </w:rPr>
        <w:t xml:space="preserve">平文カルテからNLPで情報属性を自動判別・構造化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CareOSとの差異: </w:t>
      </w:r>
      <w:r>
        <w:rPr>
          <w:rFonts w:ascii="Yu Gothic" w:cs="Yu Gothic" w:eastAsia="Yu Gothic" w:hAnsi="Yu Gothic"/>
          <w:sz w:val="21"/>
          <w:szCs w:val="21"/>
        </w:rPr>
        <w:t xml:space="preserve">入力UI生成機能なし。抽出専用（救急医療向け）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(D) 特許第6792892号（Rehab for JAPAN、日本）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名称: </w:t>
      </w:r>
      <w:r>
        <w:rPr>
          <w:rFonts w:ascii="Yu Gothic" w:cs="Yu Gothic" w:eastAsia="Yu Gothic" w:hAnsi="Yu Gothic"/>
          <w:sz w:val="21"/>
          <w:szCs w:val="21"/>
        </w:rPr>
        <w:t xml:space="preserve">リハビリ計画作成支援システム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技術: </w:t>
      </w:r>
      <w:r>
        <w:rPr>
          <w:rFonts w:ascii="Yu Gothic" w:cs="Yu Gothic" w:eastAsia="Yu Gothic" w:hAnsi="Yu Gothic"/>
          <w:sz w:val="21"/>
          <w:szCs w:val="21"/>
        </w:rPr>
        <w:t xml:space="preserve">評価データから2,500種のリハビリプログラムを自動立案</w:t>
      </w:r>
    </w:p>
    <w:p>
      <w:pPr>
        <w:spacing w:after="8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CareOSとの差異: </w:t>
      </w:r>
      <w:r>
        <w:rPr>
          <w:rFonts w:ascii="Yu Gothic" w:cs="Yu Gothic" w:eastAsia="Yu Gothic" w:hAnsi="Yu Gothic"/>
          <w:sz w:val="21"/>
          <w:szCs w:val="21"/>
        </w:rPr>
        <w:t xml:space="preserve">リハビリ計画の自動立案。カルテ入力UI自体の生成ではない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3.3 差異分析と特許性評価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比較項目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先行技術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CareOSの発明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データ規模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単一診察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2,897ページ・192人の履歴データ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フィールド抽出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診療コードのみ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181構造化フィールド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UIパターン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単一ワークスペース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7種のADAPTIVE UIパターン自動振分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選択肢生成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医師が事前設定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OCR+形態素解析で1,507選択肢自動生成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対象領域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医療（救急・一般診療）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知的障害者福祉施設の支援カルテ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評価項目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評価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根拠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新規性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OCR+形態素解析→UIパターン自動生成の組合せは未発見。ただしDynamic Forms特許が広義で関連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進歩性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紙カルテ大量スキャン→形態素解析→パターン抽出→16カテゴリ→7UIパターン自動振分のパイプラインは独自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産業利用性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福祉施設の紙カルテデジタル化の需要は大きい。タップ入力95%は大幅な業務効率化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spacing w:after="120"/>
      </w:pPr>
      <w:r>
        <w:rPr>
          <w:rFonts w:ascii="Yu Gothic" w:cs="Yu Gothic" w:eastAsia="Yu Gothic" w:hAnsi="Yu Gothic"/>
          <w:color w:val="CC0000"/>
          <w:sz w:val="21"/>
          <w:szCs w:val="21"/>
        </w:rPr>
        <w:t xml:space="preserve">※ 重要: Dynamic Forms特許（US10437961B2）が最も近いが、OCR・形態素解析・履歴データからの選択肢自動生成は含まれない。請求項で「紙カルテのOCRスキャン→形態素解析→パターン抽出→UIパターン自動振分」のパイプラインを明確に定義することを推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Yu Gothic" w:cs="Yu Gothic" w:eastAsia="Yu Gothic" w:hAnsi="Yu Gothic"/>
          <w:b/>
          <w:bCs/>
          <w:sz w:val="28"/>
          <w:szCs w:val="28"/>
        </w:rPr>
        <w:t xml:space="preserve">4. 総括・弁理士への提言</w:t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4.1 3件の特許性総合評価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1800"/>
        <w:gridCol w:w="1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特許候補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新規性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進歩性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総合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19"/>
                <w:szCs w:val="19"/>
              </w:rPr>
              <w:t xml:space="preserve">リスク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(1) AI危険ループ検知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最有望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低 — 先行特許がほぼない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(2) 情報開示×課金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★★★☆☆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成立可能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中 — BM特許要件充足が課題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(3) 分岐入力UI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★★★★☆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有望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333333"/>
                <w:sz w:val="19"/>
                <w:szCs w:val="19"/>
              </w:rPr>
              <w:t xml:space="preserve">低〜中 — Dynamic Formsとの差別化が鎵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4.2 請求項強化の提言</w:t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特許(1): AI危険ループ検知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→ 「13段階×4層のマトリックス構造」と「支援記録テキストからの時系列パターン検知」を請求項の中核に。AiCAN（児童・アセスメントデータベース）との差別化を明確に。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特許(2): 情報開示×課金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→ 技術的構成（属性暗号化・同意管理テーブル・AIフィードバックループ）を請求項に具体的に記載。「自然法則を利用した技術的思想」の要件充足を弁理士に確認。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3"/>
        <w:spacing w:after="120" w:before="20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特許(3): 分岐入力UI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→ 「紙カルテOCRスキャン→形態素解析→パターン抽出→16カテゴリ→7UIパターン自動振分」のパイプライン全体を請求項に。DrChrono Dynamic Formsとの差異を意識したクレーム設計を。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/>
      </w:r>
    </w:p>
    <w:p>
      <w:pPr>
        <w:pStyle w:val="Heading2"/>
        <w:spacing w:after="160" w:before="28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4.3 次のステップ（弁理士への依頼事項）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1. 本簡易調査を踏まえた正式な先行技術調査（3件分、特許調査費用助成100万円活用）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2. AiCAN関連の特許出願状況の確認（産総研/AiCAN社の出願有無）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3. 特許(2)のビジネスモデル特許としての成立可能性判断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4. Dynamic Forms特許（US10437961B2）の請求範囲との抵触確認</w:t>
      </w:r>
    </w:p>
    <w:p>
      <w:pPr>
        <w:spacing w:after="120"/>
      </w:pPr>
      <w:r>
        <w:rPr>
          <w:rFonts w:ascii="Yu Gothic" w:cs="Yu Gothic" w:eastAsia="Yu Gothic" w:hAnsi="Yu Gothic"/>
          <w:sz w:val="21"/>
          <w:szCs w:val="21"/>
        </w:rPr>
        <w:t xml:space="preserve">5. 請求項の改善・範囲調整のアドバイス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Page 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88888"/>
        <w:sz w:val="16"/>
        <w:szCs w:val="16"/>
      </w:rPr>
      <w:t xml:space="preserve">Universal Care OS — 先行技術調査報告書（簡易版）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Yu Gothic" w:cs="Yu Gothic" w:eastAsia="Yu Gothic" w:hAnsi="Yu Gothic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Yu Gothic" w:cs="Yu Gothic" w:eastAsia="Yu Gothic" w:hAnsi="Yu Gothic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Yu Gothic" w:cs="Yu Gothic" w:eastAsia="Yu Gothic" w:hAnsi="Yu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2026-03-24T12:37:54.063Z</dcterms:created>
  <dcterms:modified xsi:type="dcterms:W3CDTF">2026-03-24T12:37:54.063Z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