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Business Requirements Document (BRD)</w:t>
      </w:r>
    </w:p>
    <w:p>
      <w:pPr>
        <w:jc w:val="center"/>
      </w:pPr>
      <w:r>
        <w:rPr>
          <w:i/>
          <w:sz w:val="22"/>
        </w:rPr>
        <w:t>Sample BRD for the Money Transfer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Money Transfer System (MTS)</w:t>
            </w:r>
          </w:p>
        </w:tc>
      </w:tr>
      <w:tr>
        <w:tc>
          <w:tcPr>
            <w:tcW w:type="dxa" w:w="5040"/>
            <w:shd w:fill="E8EEF7"/>
          </w:tcPr>
          <w:p>
            <w:r>
              <w:t>Document Status</w:t>
            </w:r>
          </w:p>
        </w:tc>
        <w:tc>
          <w:tcPr>
            <w:tcW w:type="dxa" w:w="5040"/>
          </w:tcPr>
          <w:p>
            <w:r>
              <w:t>Sample / Training Use</w:t>
            </w:r>
          </w:p>
        </w:tc>
      </w:tr>
      <w:tr>
        <w:tc>
          <w:tcPr>
            <w:tcW w:type="dxa" w:w="5040"/>
            <w:shd w:fill="E8EEF7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8EEF7"/>
          </w:tcPr>
          <w:p>
            <w:r>
              <w:t>Prepared For</w:t>
            </w:r>
          </w:p>
        </w:tc>
        <w:tc>
          <w:tcPr>
            <w:tcW w:type="dxa" w:w="5040"/>
          </w:tcPr>
          <w:p>
            <w:r>
              <w:t>Sustain Engineering Training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document captures the business need, scope, stakeholders, high-level capabilities, constraints and success criteria for the Money Transfer System (MTS). It intentionally avoids implementation design.</w:t>
      </w:r>
    </w:p>
    <w:p>
      <w:pPr>
        <w:pStyle w:val="Heading1"/>
      </w:pPr>
      <w:r>
        <w:t>2. Business Problem</w:t>
      </w:r>
    </w:p>
    <w:p>
      <w:r>
        <w:t>Customers need a simple digital mechanism to transfer money between eligible accounts without manual branch processing. The business needs a traceable, controlled transfer experience that gives customers a clear outcome.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Enable customers to initiate domestic account-to-account transfers digitally.</w:t>
      </w:r>
    </w:p>
    <w:p>
      <w:pPr>
        <w:pStyle w:val="ListBullet"/>
      </w:pPr>
      <w:r>
        <w:t>Reduce manual processing and branch dependency for routine transfers.</w:t>
      </w:r>
    </w:p>
    <w:p>
      <w:pPr>
        <w:pStyle w:val="ListBullet"/>
      </w:pPr>
      <w:r>
        <w:t>Provide clear success/failure outcomes and a transaction reference for completed transfers.</w:t>
      </w:r>
    </w:p>
    <w:p>
      <w:pPr>
        <w:pStyle w:val="ListBullet"/>
      </w:pPr>
      <w:r>
        <w:t>Maintain an auditable record of transfer activity.</w:t>
      </w:r>
    </w:p>
    <w:p>
      <w:pPr>
        <w:pStyle w:val="ListBullet"/>
      </w:pPr>
      <w:r>
        <w:t>Support reliable operation suitable for production use.</w:t>
      </w:r>
    </w:p>
    <w:p>
      <w:pPr>
        <w:pStyle w:val="Heading1"/>
      </w:pPr>
      <w:r>
        <w:t>4.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In Scope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Out of Scope</w:t>
            </w:r>
          </w:p>
        </w:tc>
      </w:tr>
      <w:tr>
        <w:tc>
          <w:tcPr>
            <w:tcW w:type="dxa" w:w="5040"/>
            <w:vAlign w:val="center"/>
          </w:tcPr>
          <w:p>
            <w:r>
              <w:t>Domestic account-to-account transfer flow</w:t>
            </w:r>
          </w:p>
        </w:tc>
        <w:tc>
          <w:tcPr>
            <w:tcW w:type="dxa" w:w="5040"/>
            <w:vAlign w:val="center"/>
          </w:tcPr>
          <w:p>
            <w:r>
              <w:t>International transfers / foreign exchange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Validation of sender, receiver and amount</w:t>
            </w:r>
          </w:p>
        </w:tc>
        <w:tc>
          <w:tcPr>
            <w:tcW w:type="dxa" w:w="5040"/>
            <w:vAlign w:val="center"/>
          </w:tcPr>
          <w:p>
            <w:r>
              <w:t>Card payments / merchant acquiring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Recording transfer outcome</w:t>
            </w:r>
          </w:p>
        </w:tc>
        <w:tc>
          <w:tcPr>
            <w:tcW w:type="dxa" w:w="5040"/>
            <w:vAlign w:val="center"/>
          </w:tcPr>
          <w:p>
            <w:r>
              <w:t>Batch payroll processing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Customer-facing success/failure response</w:t>
            </w:r>
          </w:p>
        </w:tc>
        <w:tc>
          <w:tcPr>
            <w:tcW w:type="dxa" w:w="5040"/>
            <w:vAlign w:val="center"/>
          </w:tcPr>
          <w:p>
            <w:r>
              <w:t>Advanced fraud platform</w:t>
            </w:r>
          </w:p>
        </w:tc>
      </w:tr>
      <w:tr>
        <w:tc>
          <w:tcPr>
            <w:tcW w:type="dxa" w:w="5040"/>
            <w:vAlign w:val="center"/>
          </w:tcPr>
          <w:p>
            <w:r>
              <w:t>Optional post-transfer notification</w:t>
            </w:r>
          </w:p>
        </w:tc>
        <w:tc>
          <w:tcPr>
            <w:tcW w:type="dxa" w:w="5040"/>
            <w:vAlign w:val="center"/>
          </w:tcPr>
          <w:p>
            <w:r>
              <w:t>Complex notification-channel orchestration</w:t>
            </w:r>
          </w:p>
        </w:tc>
      </w:tr>
    </w:tbl>
    <w:p/>
    <w:p>
      <w:pPr>
        <w:pStyle w:val="Heading1"/>
      </w:pPr>
      <w:r>
        <w:t>5.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Interest / 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Business / Product Owner</w:t>
            </w:r>
          </w:p>
        </w:tc>
        <w:tc>
          <w:tcPr>
            <w:tcW w:type="dxa" w:w="5040"/>
            <w:vAlign w:val="center"/>
          </w:tcPr>
          <w:p>
            <w:r>
              <w:t>Business outcome, scope and acceptance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</w:t>
            </w:r>
          </w:p>
        </w:tc>
        <w:tc>
          <w:tcPr>
            <w:tcW w:type="dxa" w:w="5040"/>
            <w:vAlign w:val="center"/>
          </w:tcPr>
          <w:p>
            <w:r>
              <w:t>Initiates transfer and receives outcome</w:t>
            </w:r>
          </w:p>
        </w:tc>
      </w:tr>
      <w:tr>
        <w:tc>
          <w:tcPr>
            <w:tcW w:type="dxa" w:w="5040"/>
            <w:vAlign w:val="center"/>
          </w:tcPr>
          <w:p>
            <w:r>
              <w:t>Development Team</w:t>
            </w:r>
          </w:p>
        </w:tc>
        <w:tc>
          <w:tcPr>
            <w:tcW w:type="dxa" w:w="5040"/>
            <w:vAlign w:val="center"/>
          </w:tcPr>
          <w:p>
            <w:r>
              <w:t>Implements application capabilities</w:t>
            </w:r>
          </w:p>
        </w:tc>
      </w:tr>
      <w:tr>
        <w:tc>
          <w:tcPr>
            <w:tcW w:type="dxa" w:w="5040"/>
            <w:vAlign w:val="center"/>
          </w:tcPr>
          <w:p>
            <w:r>
              <w:t>QA / Test Team</w:t>
            </w:r>
          </w:p>
        </w:tc>
        <w:tc>
          <w:tcPr>
            <w:tcW w:type="dxa" w:w="5040"/>
            <w:vAlign w:val="center"/>
          </w:tcPr>
          <w:p>
            <w:r>
              <w:t>Validates requirements and risks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Operations / Sustain Engineering</w:t>
            </w:r>
          </w:p>
        </w:tc>
        <w:tc>
          <w:tcPr>
            <w:tcW w:type="dxa" w:w="5040"/>
            <w:vAlign w:val="center"/>
          </w:tcPr>
          <w:p>
            <w:r>
              <w:t>Runs, monitors and supports production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Compliance / Security</w:t>
            </w:r>
          </w:p>
        </w:tc>
        <w:tc>
          <w:tcPr>
            <w:tcW w:type="dxa" w:w="5040"/>
            <w:vAlign w:val="center"/>
          </w:tcPr>
          <w:p>
            <w:r>
              <w:t>Reviews applicable controls and audit needs</w:t>
            </w:r>
          </w:p>
        </w:tc>
      </w:tr>
    </w:tbl>
    <w:p/>
    <w:p>
      <w:pPr>
        <w:pStyle w:val="Heading1"/>
      </w:pPr>
      <w:r>
        <w:t>6. High-Level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Business Requirement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60"/>
            <w:vAlign w:val="center"/>
          </w:tcPr>
          <w:p>
            <w:r>
              <w:t>BR-01</w:t>
            </w:r>
          </w:p>
        </w:tc>
        <w:tc>
          <w:tcPr>
            <w:tcW w:type="dxa" w:w="3360"/>
            <w:vAlign w:val="center"/>
          </w:tcPr>
          <w:p>
            <w:r>
              <w:t>Customers shall be able to initiate a transfer between eligible accounts.</w:t>
            </w:r>
          </w:p>
        </w:tc>
        <w:tc>
          <w:tcPr>
            <w:tcW w:type="dxa" w:w="3360"/>
            <w:vAlign w:val="center"/>
          </w:tcPr>
          <w:p>
            <w: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>
              <w:t>BR-02</w:t>
            </w:r>
          </w:p>
        </w:tc>
        <w:tc>
          <w:tcPr>
            <w:tcW w:type="dxa" w:w="3360"/>
            <w:vAlign w:val="center"/>
          </w:tcPr>
          <w:p>
            <w:r>
              <w:t>The system shall prevent invalid or unauthorized transfer attempts.</w:t>
            </w:r>
          </w:p>
        </w:tc>
        <w:tc>
          <w:tcPr>
            <w:tcW w:type="dxa" w:w="3360"/>
            <w:vAlign w:val="center"/>
          </w:tcPr>
          <w:p>
            <w: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>
              <w:t>BR-03</w:t>
            </w:r>
          </w:p>
        </w:tc>
        <w:tc>
          <w:tcPr>
            <w:tcW w:type="dxa" w:w="3360"/>
            <w:vAlign w:val="center"/>
          </w:tcPr>
          <w:p>
            <w:r>
              <w:t>A successful transfer shall result in a durable transaction record and reference.</w:t>
            </w:r>
          </w:p>
        </w:tc>
        <w:tc>
          <w:tcPr>
            <w:tcW w:type="dxa" w:w="3360"/>
            <w:vAlign w:val="center"/>
          </w:tcPr>
          <w:p>
            <w: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>
              <w:t>BR-04</w:t>
            </w:r>
          </w:p>
        </w:tc>
        <w:tc>
          <w:tcPr>
            <w:tcW w:type="dxa" w:w="3360"/>
            <w:vAlign w:val="center"/>
          </w:tcPr>
          <w:p>
            <w:r>
              <w:t>Customers shall receive a clear success or failure outcome.</w:t>
            </w:r>
          </w:p>
        </w:tc>
        <w:tc>
          <w:tcPr>
            <w:tcW w:type="dxa" w:w="3360"/>
            <w:vAlign w:val="center"/>
          </w:tcPr>
          <w:p>
            <w:r>
              <w:t>Must</w:t>
            </w:r>
          </w:p>
        </w:tc>
      </w:tr>
      <w:tr>
        <w:tc>
          <w:tcPr>
            <w:tcW w:type="dxa" w:w="3360"/>
            <w:vAlign w:val="center"/>
          </w:tcPr>
          <w:p>
            <w:r>
              <w:t>BR-05</w:t>
            </w:r>
          </w:p>
        </w:tc>
        <w:tc>
          <w:tcPr>
            <w:tcW w:type="dxa" w:w="3360"/>
            <w:vAlign w:val="center"/>
          </w:tcPr>
          <w:p>
            <w:r>
              <w:t>The system should support a notification after a completed transfer without making notification delivery a prerequisite for the committed transfer.</w:t>
            </w:r>
          </w:p>
        </w:tc>
        <w:tc>
          <w:tcPr>
            <w:tcW w:type="dxa" w:w="3360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360"/>
            <w:vAlign w:val="center"/>
          </w:tcPr>
          <w:p>
            <w:r>
              <w:t>BR-06</w:t>
            </w:r>
          </w:p>
        </w:tc>
        <w:tc>
          <w:tcPr>
            <w:tcW w:type="dxa" w:w="3360"/>
            <w:vAlign w:val="center"/>
          </w:tcPr>
          <w:p>
            <w:r>
              <w:t>Transfer activity shall be traceable for operational and audit investigation.</w:t>
            </w:r>
          </w:p>
        </w:tc>
        <w:tc>
          <w:tcPr>
            <w:tcW w:type="dxa" w:w="3360"/>
            <w:vAlign w:val="center"/>
          </w:tcPr>
          <w:p>
            <w:r>
              <w:t>Must</w:t>
            </w:r>
          </w:p>
        </w:tc>
      </w:tr>
    </w:tbl>
    <w:p/>
    <w:p>
      <w:pPr>
        <w:pStyle w:val="Heading1"/>
      </w:pPr>
      <w:r>
        <w:t>7. Business Rules / Constraints</w:t>
      </w:r>
    </w:p>
    <w:p>
      <w:pPr>
        <w:pStyle w:val="ListBullet"/>
      </w:pPr>
      <w:r>
        <w:t>Only eligible/active accounts participate in transfers.</w:t>
      </w:r>
    </w:p>
    <w:p>
      <w:pPr>
        <w:pStyle w:val="ListBullet"/>
      </w:pPr>
      <w:r>
        <w:t>Transfer amount must be positive and within configured business limits.</w:t>
      </w:r>
    </w:p>
    <w:p>
      <w:pPr>
        <w:pStyle w:val="ListBullet"/>
      </w:pPr>
      <w:r>
        <w:t>Sender must have sufficient available balance.</w:t>
      </w:r>
    </w:p>
    <w:p>
      <w:pPr>
        <w:pStyle w:val="ListBullet"/>
      </w:pPr>
      <w:r>
        <w:t>Debit and credit must preserve financial consistency; partial financial completion is unacceptable.</w:t>
      </w:r>
    </w:p>
    <w:p>
      <w:pPr>
        <w:pStyle w:val="ListBullet"/>
      </w:pPr>
      <w:r>
        <w:t>Notification is secondary to the core transfer outcome.</w:t>
      </w:r>
    </w:p>
    <w:p>
      <w:pPr>
        <w:pStyle w:val="ListBullet"/>
      </w:pPr>
      <w:r>
        <w:t>Production data and access must be protected according to organizational security policy.</w:t>
      </w:r>
    </w:p>
    <w:p>
      <w:pPr>
        <w:pStyle w:val="Heading1"/>
      </w:pPr>
      <w:r>
        <w:t>8. Business Success Criteria</w:t>
      </w:r>
    </w:p>
    <w:p>
      <w:pPr>
        <w:pStyle w:val="ListBullet"/>
      </w:pPr>
      <w:r>
        <w:t>Valid transfers complete with a unique reference.</w:t>
      </w:r>
    </w:p>
    <w:p>
      <w:pPr>
        <w:pStyle w:val="ListBullet"/>
      </w:pPr>
      <w:r>
        <w:t>Invalid transfers are rejected without corrupting balances.</w:t>
      </w:r>
    </w:p>
    <w:p>
      <w:pPr>
        <w:pStyle w:val="ListBullet"/>
      </w:pPr>
      <w:r>
        <w:t>Transfer records can be retrieved for investigation.</w:t>
      </w:r>
    </w:p>
    <w:p>
      <w:pPr>
        <w:pStyle w:val="ListBullet"/>
      </w:pPr>
      <w:r>
        <w:t>Core transfer remains successful even if the optional notification dependency is unavailable after commit.</w:t>
      </w:r>
    </w:p>
    <w:p>
      <w:pPr>
        <w:pStyle w:val="ListBullet"/>
      </w:pPr>
      <w:r>
        <w:t>Operational teams can identify and investigate failed transfer attempts.</w:t>
      </w:r>
    </w:p>
    <w:p>
      <w:pPr>
        <w:pStyle w:val="Heading1"/>
      </w:pPr>
      <w:r>
        <w:t>9. Assumptions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5040"/>
            <w:vAlign w:val="center"/>
          </w:tcPr>
          <w:p>
            <w:r>
              <w:t>Assumption</w:t>
            </w:r>
          </w:p>
        </w:tc>
        <w:tc>
          <w:tcPr>
            <w:tcW w:type="dxa" w:w="5040"/>
            <w:vAlign w:val="center"/>
          </w:tcPr>
          <w:p>
            <w:r>
              <w:t>Account and balance data required for the transfer are available to the application.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Assumption</w:t>
            </w:r>
          </w:p>
        </w:tc>
        <w:tc>
          <w:tcPr>
            <w:tcW w:type="dxa" w:w="5040"/>
            <w:vAlign w:val="center"/>
          </w:tcPr>
          <w:p>
            <w:r>
              <w:t>Production uses a persistent relational database.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Risk</w:t>
            </w:r>
          </w:p>
        </w:tc>
        <w:tc>
          <w:tcPr>
            <w:tcW w:type="dxa" w:w="5040"/>
            <w:vAlign w:val="center"/>
          </w:tcPr>
          <w:p>
            <w:r>
              <w:t>Ambiguous limits or validation rules can create inconsistent behaviour.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Risk</w:t>
            </w:r>
          </w:p>
        </w:tc>
        <w:tc>
          <w:tcPr>
            <w:tcW w:type="dxa" w:w="5040"/>
            <w:vAlign w:val="center"/>
          </w:tcPr>
          <w:p>
            <w:r>
              <w:t>Database failure can prevent completion of core transfers.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Risk</w:t>
            </w:r>
          </w:p>
        </w:tc>
        <w:tc>
          <w:tcPr>
            <w:tcW w:type="dxa" w:w="5040"/>
            <w:vAlign w:val="center"/>
          </w:tcPr>
          <w:p>
            <w:r>
              <w:t>External notification failure can create customer communication gaps.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Risk</w:t>
            </w:r>
          </w:p>
        </w:tc>
        <w:tc>
          <w:tcPr>
            <w:tcW w:type="dxa" w:w="5040"/>
            <w:vAlign w:val="center"/>
          </w:tcPr>
          <w:p>
            <w:r>
              <w:t>Insufficient testing may allow financial/data integrity defects to escape.</w:t>
            </w:r>
          </w:p>
        </w:tc>
      </w:tr>
    </w:tbl>
    <w:p/>
    <w:p>
      <w:pPr>
        <w:pStyle w:val="Heading1"/>
      </w:pPr>
      <w:r>
        <w:t>10. Approval Criteria</w:t>
      </w:r>
    </w:p>
    <w:p>
      <w:r>
        <w:t>Business stakeholders approve the scope and high-level requirements; detailed functional/system requirements and acceptance criteria are elaborated in the FRD/SRS or equivalent Agile artifacts.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