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Software Requirements Specification (SRS)</w:t>
      </w:r>
    </w:p>
    <w:p>
      <w:pPr>
        <w:jc w:val="center"/>
      </w:pPr>
      <w:r>
        <w:rPr>
          <w:i/>
          <w:sz w:val="22"/>
        </w:rPr>
        <w:t>Sample SRS for the Money Transfer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Money Transfer System (MTS)</w:t>
            </w:r>
          </w:p>
        </w:tc>
      </w:tr>
      <w:tr>
        <w:tc>
          <w:tcPr>
            <w:tcW w:type="dxa" w:w="5040"/>
            <w:shd w:fill="E8EEF7"/>
          </w:tcPr>
          <w:p>
            <w:r>
              <w:t>Document Status</w:t>
            </w:r>
          </w:p>
        </w:tc>
        <w:tc>
          <w:tcPr>
            <w:tcW w:type="dxa" w:w="5040"/>
          </w:tcPr>
          <w:p>
            <w:r>
              <w:t>Sample / Training Use</w:t>
            </w:r>
          </w:p>
        </w:tc>
      </w:tr>
      <w:tr>
        <w:tc>
          <w:tcPr>
            <w:tcW w:type="dxa" w:w="5040"/>
            <w:shd w:fill="E8EEF7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8EEF7"/>
          </w:tcPr>
          <w:p>
            <w:r>
              <w:t>Prepared For</w:t>
            </w:r>
          </w:p>
        </w:tc>
        <w:tc>
          <w:tcPr>
            <w:tcW w:type="dxa" w:w="5040"/>
          </w:tcPr>
          <w:p>
            <w:r>
              <w:t>Sustain Engineering Training</w:t>
            </w:r>
          </w:p>
        </w:tc>
      </w:tr>
    </w:tbl>
    <w:p>
      <w:r>
        <w:br w:type="page"/>
      </w:r>
    </w:p>
    <w:p>
      <w:pPr>
        <w:pStyle w:val="Heading1"/>
      </w:pPr>
      <w:r>
        <w:t>1. Purpose and System Context</w:t>
      </w:r>
    </w:p>
    <w:p>
      <w:r>
        <w:t>This SRS defines detailed functional and non-functional requirements for the sample MTS. The current training implementation uses a React frontend (development port 5173), Spring Boot backend (port 8080), a relational database (H2 locally / MySQL production profile), and a Node.js notification service (port 3000). Port values are development/configuration examples and are not business requirements.</w:t>
      </w:r>
    </w:p>
    <w:p>
      <w:pPr>
        <w:pStyle w:val="Heading1"/>
      </w:pPr>
      <w:r>
        <w:t>2. Logical System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React Client</w:t>
            </w:r>
          </w:p>
        </w:tc>
        <w:tc>
          <w:tcPr>
            <w:tcW w:type="dxa" w:w="5040"/>
            <w:vAlign w:val="center"/>
          </w:tcPr>
          <w:p>
            <w:r>
              <w:t>Collects user input and displays transfer outcome.</w:t>
            </w:r>
          </w:p>
        </w:tc>
      </w:tr>
      <w:tr>
        <w:tc>
          <w:tcPr>
            <w:tcW w:type="dxa" w:w="5040"/>
            <w:vAlign w:val="center"/>
          </w:tcPr>
          <w:p>
            <w:r>
              <w:t>Spring Boot API</w:t>
            </w:r>
          </w:p>
        </w:tc>
        <w:tc>
          <w:tcPr>
            <w:tcW w:type="dxa" w:w="5040"/>
            <w:vAlign w:val="center"/>
          </w:tcPr>
          <w:p>
            <w:r>
              <w:t>Owns core transfer validation and processing.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Relational Database</w:t>
            </w:r>
          </w:p>
        </w:tc>
        <w:tc>
          <w:tcPr>
            <w:tcW w:type="dxa" w:w="5040"/>
            <w:vAlign w:val="center"/>
          </w:tcPr>
          <w:p>
            <w:r>
              <w:t>Persists account/transaction data.</w:t>
            </w:r>
          </w:p>
        </w:tc>
      </w:tr>
      <w:tr>
        <w:tc>
          <w:tcPr>
            <w:tcW w:type="dxa" w:w="5040"/>
            <w:vAlign w:val="center"/>
          </w:tcPr>
          <w:p>
            <w:r>
              <w:t>Node.js Notification Service</w:t>
            </w:r>
          </w:p>
        </w:tc>
        <w:tc>
          <w:tcPr>
            <w:tcW w:type="dxa" w:w="5040"/>
            <w:vAlign w:val="center"/>
          </w:tcPr>
          <w:p>
            <w:r>
              <w:t>Handles notification request as a secondary dependency.</w:t>
            </w:r>
          </w:p>
        </w:tc>
      </w:tr>
    </w:tbl>
    <w:p/>
    <w:p>
      <w:r>
        <w:t>Logical call direction: Client -&gt; Spring Boot API -&gt; Database; Spring Boot API -&gt; Notification Service after successful transfer processing. The client does not access the database directly, and the database does not invoke the notification service.</w:t>
      </w:r>
    </w:p>
    <w:p>
      <w:pPr>
        <w:pStyle w:val="Heading1"/>
      </w:pPr>
      <w:r>
        <w:t>3. Detailed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SRS-F-01</w:t>
            </w:r>
          </w:p>
        </w:tc>
        <w:tc>
          <w:tcPr>
            <w:tcW w:type="dxa" w:w="3360"/>
            <w:vAlign w:val="center"/>
          </w:tcPr>
          <w:p>
            <w:r>
              <w:t>API shall validate required transfer request fields before processing.</w:t>
            </w:r>
          </w:p>
        </w:tc>
        <w:tc>
          <w:tcPr>
            <w:tcW w:type="dxa" w:w="3360"/>
            <w:vAlign w:val="center"/>
          </w:tcPr>
          <w:p>
            <w:r>
              <w:t>Positive/negative API tests.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SRS-F-02</w:t>
            </w:r>
          </w:p>
        </w:tc>
        <w:tc>
          <w:tcPr>
            <w:tcW w:type="dxa" w:w="3360"/>
            <w:vAlign w:val="center"/>
          </w:tcPr>
          <w:p>
            <w:r>
              <w:t>API shall validate sender and receiver eligibility.</w:t>
            </w:r>
          </w:p>
        </w:tc>
        <w:tc>
          <w:tcPr>
            <w:tcW w:type="dxa" w:w="3360"/>
            <w:vAlign w:val="center"/>
          </w:tcPr>
          <w:p>
            <w:r>
              <w:t>Functional tests with valid/invalid accounts.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SRS-F-03</w:t>
            </w:r>
          </w:p>
        </w:tc>
        <w:tc>
          <w:tcPr>
            <w:tcW w:type="dxa" w:w="3360"/>
            <w:vAlign w:val="center"/>
          </w:tcPr>
          <w:p>
            <w:r>
              <w:t>API shall validate positive amount, applicable transfer limits and available balance.</w:t>
            </w:r>
          </w:p>
        </w:tc>
        <w:tc>
          <w:tcPr>
            <w:tcW w:type="dxa" w:w="3360"/>
            <w:vAlign w:val="center"/>
          </w:tcPr>
          <w:p>
            <w:r>
              <w:t>Boundary and negative tests.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SRS-F-04</w:t>
            </w:r>
          </w:p>
        </w:tc>
        <w:tc>
          <w:tcPr>
            <w:tcW w:type="dxa" w:w="3360"/>
            <w:vAlign w:val="center"/>
          </w:tcPr>
          <w:p>
            <w:r>
              <w:t>Financial debit/credit and transaction persistence shall execute with transactional consistency.</w:t>
            </w:r>
          </w:p>
        </w:tc>
        <w:tc>
          <w:tcPr>
            <w:tcW w:type="dxa" w:w="3360"/>
            <w:vAlign w:val="center"/>
          </w:tcPr>
          <w:p>
            <w:r>
              <w:t>Integration test forcing failure during processing; verify rollback.</w:t>
            </w:r>
          </w:p>
        </w:tc>
      </w:tr>
      <w:tr>
        <w:tc>
          <w:tcPr>
            <w:tcW w:type="dxa" w:w="3360"/>
            <w:vAlign w:val="center"/>
          </w:tcPr>
          <w:p>
            <w:r>
              <w:t>SRS-F-05</w:t>
            </w:r>
          </w:p>
        </w:tc>
        <w:tc>
          <w:tcPr>
            <w:tcW w:type="dxa" w:w="3360"/>
            <w:vAlign w:val="center"/>
          </w:tcPr>
          <w:p>
            <w:r>
              <w:t>Successful transfer shall return an unambiguous success outcome and transaction reference.</w:t>
            </w:r>
          </w:p>
        </w:tc>
        <w:tc>
          <w:tcPr>
            <w:tcW w:type="dxa" w:w="3360"/>
            <w:vAlign w:val="center"/>
          </w:tcPr>
          <w:p>
            <w:r>
              <w:t>API response validation.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SRS-F-06</w:t>
            </w:r>
          </w:p>
        </w:tc>
        <w:tc>
          <w:tcPr>
            <w:tcW w:type="dxa" w:w="3360"/>
            <w:vAlign w:val="center"/>
          </w:tcPr>
          <w:p>
            <w:r>
              <w:t>Rejected transfer shall not leave partial balance updates.</w:t>
            </w:r>
          </w:p>
        </w:tc>
        <w:tc>
          <w:tcPr>
            <w:tcW w:type="dxa" w:w="3360"/>
            <w:vAlign w:val="center"/>
          </w:tcPr>
          <w:p>
            <w:r>
              <w:t>Database state verification.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SRS-F-07</w:t>
            </w:r>
          </w:p>
        </w:tc>
        <w:tc>
          <w:tcPr>
            <w:tcW w:type="dxa" w:w="3360"/>
            <w:vAlign w:val="center"/>
          </w:tcPr>
          <w:p>
            <w:r>
              <w:t>After a committed transfer, backend may invoke notification service.</w:t>
            </w:r>
          </w:p>
        </w:tc>
        <w:tc>
          <w:tcPr>
            <w:tcW w:type="dxa" w:w="3360"/>
            <w:vAlign w:val="center"/>
          </w:tcPr>
          <w:p>
            <w:r>
              <w:t>Integration test / mock notification.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SRS-F-08</w:t>
            </w:r>
          </w:p>
        </w:tc>
        <w:tc>
          <w:tcPr>
            <w:tcW w:type="dxa" w:w="3360"/>
            <w:vAlign w:val="center"/>
          </w:tcPr>
          <w:p>
            <w:r>
              <w:t>Notification failure after transfer commit shall not change the committed financial outcome.</w:t>
            </w:r>
          </w:p>
        </w:tc>
        <w:tc>
          <w:tcPr>
            <w:tcW w:type="dxa" w:w="3360"/>
            <w:vAlign w:val="center"/>
          </w:tcPr>
          <w:p>
            <w:r>
              <w:t>Dependency-failure test.</w:t>
            </w:r>
          </w:p>
        </w:tc>
      </w:tr>
      <w:tr>
        <w:tc>
          <w:tcPr>
            <w:tcW w:type="dxa" w:w="3360"/>
            <w:vAlign w:val="center"/>
          </w:tcPr>
          <w:p>
            <w:r>
              <w:t>SRS-F-09</w:t>
            </w:r>
          </w:p>
        </w:tc>
        <w:tc>
          <w:tcPr>
            <w:tcW w:type="dxa" w:w="3360"/>
            <w:vAlign w:val="center"/>
          </w:tcPr>
          <w:p>
            <w:r>
              <w:t>Operationally relevant failures shall be logged with enough context for investigation without exposing secrets.</w:t>
            </w:r>
          </w:p>
        </w:tc>
        <w:tc>
          <w:tcPr>
            <w:tcW w:type="dxa" w:w="3360"/>
            <w:vAlign w:val="center"/>
          </w:tcPr>
          <w:p>
            <w:r>
              <w:t>Log review.</w:t>
            </w:r>
          </w:p>
        </w:tc>
      </w:tr>
    </w:tbl>
    <w:p/>
    <w:p>
      <w:pPr>
        <w:pStyle w:val="Heading1"/>
      </w:pPr>
      <w:r>
        <w:t>4. External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Sample 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Client -&gt; Backend</w:t>
            </w:r>
          </w:p>
        </w:tc>
        <w:tc>
          <w:tcPr>
            <w:tcW w:type="dxa" w:w="5040"/>
            <w:vAlign w:val="center"/>
          </w:tcPr>
          <w:p>
            <w:r>
              <w:t>HTTP API; request/response format and endpoint contract must be version-controlled/documented.</w:t>
            </w:r>
          </w:p>
        </w:tc>
      </w:tr>
      <w:tr>
        <w:tc>
          <w:tcPr>
            <w:tcW w:type="dxa" w:w="5040"/>
            <w:vAlign w:val="center"/>
          </w:tcPr>
          <w:p>
            <w:r>
              <w:t>Backend -&gt; Database</w:t>
            </w:r>
          </w:p>
        </w:tc>
        <w:tc>
          <w:tcPr>
            <w:tcW w:type="dxa" w:w="5040"/>
            <w:vAlign w:val="center"/>
          </w:tcPr>
          <w:p>
            <w:r>
              <w:t>Persistent relational data access; production profile uses MySQL.</w:t>
            </w:r>
          </w:p>
        </w:tc>
      </w:tr>
      <w:tr>
        <w:tc>
          <w:tcPr>
            <w:tcW w:type="dxa" w:w="5040"/>
            <w:vAlign w:val="center"/>
          </w:tcPr>
          <w:p>
            <w:r>
              <w:t>Backend -&gt; Notification</w:t>
            </w:r>
          </w:p>
        </w:tc>
        <w:tc>
          <w:tcPr>
            <w:tcW w:type="dxa" w:w="5040"/>
            <w:vAlign w:val="center"/>
          </w:tcPr>
          <w:p>
            <w:r>
              <w:t>HTTP call to notification service; timeout/failure behaviour must be bounded and observable.</w:t>
            </w:r>
          </w:p>
        </w:tc>
      </w:tr>
      <w:tr>
        <w:tc>
          <w:tcPr>
            <w:tcW w:type="dxa" w:w="5040"/>
            <w:vAlign w:val="center"/>
          </w:tcPr>
          <w:p>
            <w:r>
              <w:t>User Interface</w:t>
            </w:r>
          </w:p>
        </w:tc>
        <w:tc>
          <w:tcPr>
            <w:tcW w:type="dxa" w:w="5040"/>
            <w:vAlign w:val="center"/>
          </w:tcPr>
          <w:p>
            <w:r>
              <w:t>Must display success reference or meaningful failure feedback.</w:t>
            </w:r>
          </w:p>
        </w:tc>
      </w:tr>
    </w:tbl>
    <w:p/>
    <w:p>
      <w:pPr>
        <w:pStyle w:val="Heading1"/>
      </w:pPr>
      <w:r>
        <w:t>5. Data Requirements</w:t>
      </w:r>
    </w:p>
    <w:p>
      <w:pPr>
        <w:pStyle w:val="ListBullet"/>
      </w:pPr>
      <w:r>
        <w:t>Account data shall support identification, eligibility and available balance required for transfer validation.</w:t>
      </w:r>
    </w:p>
    <w:p>
      <w:pPr>
        <w:pStyle w:val="ListBullet"/>
      </w:pPr>
      <w:r>
        <w:t>Transaction record shall preserve sufficient information to trace a transfer and its outcome.</w:t>
      </w:r>
    </w:p>
    <w:p>
      <w:pPr>
        <w:pStyle w:val="ListBullet"/>
      </w:pPr>
      <w:r>
        <w:t>Financial updates shall preserve consistency across sender and receiver.</w:t>
      </w:r>
    </w:p>
    <w:p>
      <w:pPr>
        <w:pStyle w:val="ListBullet"/>
      </w:pPr>
      <w:r>
        <w:t>Production data handling shall follow organizational privacy, retention and access-control policies.</w:t>
      </w:r>
    </w:p>
    <w:p>
      <w:pPr>
        <w:pStyle w:val="ListBullet"/>
      </w:pPr>
      <w:r>
        <w:t>Lower test environments should use synthetic or appropriately masked data.</w:t>
      </w:r>
    </w:p>
    <w:p>
      <w:pPr>
        <w:pStyle w:val="Heading1"/>
      </w:pPr>
      <w:r>
        <w:t>6. Non-Functional Requirements - Sample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Sample Requirement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NFR-01</w:t>
            </w:r>
          </w:p>
        </w:tc>
        <w:tc>
          <w:tcPr>
            <w:tcW w:type="dxa" w:w="3360"/>
            <w:vAlign w:val="center"/>
          </w:tcPr>
          <w:p>
            <w:r>
              <w:t>Performance</w:t>
            </w:r>
          </w:p>
        </w:tc>
        <w:tc>
          <w:tcPr>
            <w:tcW w:type="dxa" w:w="3360"/>
            <w:vAlign w:val="center"/>
          </w:tcPr>
          <w:p>
            <w:r>
              <w:t>Define and measure an agreed response-time target under a stated workload; exact production threshold requires business/SRE agreement.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NFR-02</w:t>
            </w:r>
          </w:p>
        </w:tc>
        <w:tc>
          <w:tcPr>
            <w:tcW w:type="dxa" w:w="3360"/>
            <w:vAlign w:val="center"/>
          </w:tcPr>
          <w:p>
            <w:r>
              <w:t>Availability</w:t>
            </w:r>
          </w:p>
        </w:tc>
        <w:tc>
          <w:tcPr>
            <w:tcW w:type="dxa" w:w="3360"/>
            <w:vAlign w:val="center"/>
          </w:tcPr>
          <w:p>
            <w:r>
              <w:t>Core transfer service availability target shall be defined as an SLO before production go-live.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NFR-03</w:t>
            </w:r>
          </w:p>
        </w:tc>
        <w:tc>
          <w:tcPr>
            <w:tcW w:type="dxa" w:w="3360"/>
            <w:vAlign w:val="center"/>
          </w:tcPr>
          <w:p>
            <w:r>
              <w:t>Security</w:t>
            </w:r>
          </w:p>
        </w:tc>
        <w:tc>
          <w:tcPr>
            <w:tcW w:type="dxa" w:w="3360"/>
            <w:vAlign w:val="center"/>
          </w:tcPr>
          <w:p>
            <w:r>
              <w:t>Sensitive transfer traffic shall use approved encrypted transport and authenticated/authorized access.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NFR-04</w:t>
            </w:r>
          </w:p>
        </w:tc>
        <w:tc>
          <w:tcPr>
            <w:tcW w:type="dxa" w:w="3360"/>
            <w:vAlign w:val="center"/>
          </w:tcPr>
          <w:p>
            <w:r>
              <w:t>Reliability</w:t>
            </w:r>
          </w:p>
        </w:tc>
        <w:tc>
          <w:tcPr>
            <w:tcW w:type="dxa" w:w="3360"/>
            <w:vAlign w:val="center"/>
          </w:tcPr>
          <w:p>
            <w:r>
              <w:t>A failed notification shall not corrupt or reverse a committed transfer.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NFR-05</w:t>
            </w:r>
          </w:p>
        </w:tc>
        <w:tc>
          <w:tcPr>
            <w:tcW w:type="dxa" w:w="3360"/>
            <w:vAlign w:val="center"/>
          </w:tcPr>
          <w:p>
            <w:r>
              <w:t>Observability</w:t>
            </w:r>
          </w:p>
        </w:tc>
        <w:tc>
          <w:tcPr>
            <w:tcW w:type="dxa" w:w="3360"/>
            <w:vAlign w:val="center"/>
          </w:tcPr>
          <w:p>
            <w:r>
              <w:t>Backend shall expose/log sufficient signals to identify transfer failures and dependency failures.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NFR-06</w:t>
            </w:r>
          </w:p>
        </w:tc>
        <w:tc>
          <w:tcPr>
            <w:tcW w:type="dxa" w:w="3360"/>
            <w:vAlign w:val="center"/>
          </w:tcPr>
          <w:p>
            <w:r>
              <w:t>Recoverability</w:t>
            </w:r>
          </w:p>
        </w:tc>
        <w:tc>
          <w:tcPr>
            <w:tcW w:type="dxa" w:w="3360"/>
            <w:vAlign w:val="center"/>
          </w:tcPr>
          <w:p>
            <w:r>
              <w:t>Database backup/restore and recovery objectives shall be defined and tested for production.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NFR-07</w:t>
            </w:r>
          </w:p>
        </w:tc>
        <w:tc>
          <w:tcPr>
            <w:tcW w:type="dxa" w:w="3360"/>
            <w:vAlign w:val="center"/>
          </w:tcPr>
          <w:p>
            <w:r>
              <w:t>Scalability</w:t>
            </w:r>
          </w:p>
        </w:tc>
        <w:tc>
          <w:tcPr>
            <w:tcW w:type="dxa" w:w="3360"/>
            <w:vAlign w:val="center"/>
          </w:tcPr>
          <w:p>
            <w:r>
              <w:t>System shall be capacity-tested against expected and peak transaction volumes before production.</w:t>
            </w:r>
          </w:p>
        </w:tc>
      </w:tr>
    </w:tbl>
    <w:p/>
    <w:p>
      <w:pPr>
        <w:pStyle w:val="Heading1"/>
      </w:pPr>
      <w:r>
        <w:t>7. Environment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Typical Data</w:t>
            </w:r>
          </w:p>
        </w:tc>
      </w:tr>
      <w:tr>
        <w:tc>
          <w:tcPr>
            <w:tcW w:type="dxa" w:w="3360"/>
            <w:vAlign w:val="center"/>
          </w:tcPr>
          <w:p>
            <w:r>
              <w:t>DEV</w:t>
            </w:r>
          </w:p>
        </w:tc>
        <w:tc>
          <w:tcPr>
            <w:tcW w:type="dxa" w:w="3360"/>
            <w:vAlign w:val="center"/>
          </w:tcPr>
          <w:p>
            <w:r>
              <w:t>Developer build and local checks</w:t>
            </w:r>
          </w:p>
        </w:tc>
        <w:tc>
          <w:tcPr>
            <w:tcW w:type="dxa" w:w="3360"/>
            <w:vAlign w:val="center"/>
          </w:tcPr>
          <w:p>
            <w:r>
              <w:t>Synthetic/local</w:t>
            </w:r>
          </w:p>
        </w:tc>
      </w:tr>
      <w:tr>
        <w:tc>
          <w:tcPr>
            <w:tcW w:type="dxa" w:w="3360"/>
            <w:vAlign w:val="center"/>
          </w:tcPr>
          <w:p>
            <w:r>
              <w:t>TEST / QA</w:t>
            </w:r>
          </w:p>
        </w:tc>
        <w:tc>
          <w:tcPr>
            <w:tcW w:type="dxa" w:w="3360"/>
            <w:vAlign w:val="center"/>
          </w:tcPr>
          <w:p>
            <w:r>
              <w:t>Functional and regression testing</w:t>
            </w:r>
          </w:p>
        </w:tc>
        <w:tc>
          <w:tcPr>
            <w:tcW w:type="dxa" w:w="3360"/>
            <w:vAlign w:val="center"/>
          </w:tcPr>
          <w:p>
            <w:r>
              <w:t>Synthetic/masked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SIT</w:t>
            </w:r>
          </w:p>
        </w:tc>
        <w:tc>
          <w:tcPr>
            <w:tcW w:type="dxa" w:w="3360"/>
            <w:vAlign w:val="center"/>
          </w:tcPr>
          <w:p>
            <w:r>
              <w:t>Validate database/notification and other integrations</w:t>
            </w:r>
          </w:p>
        </w:tc>
        <w:tc>
          <w:tcPr>
            <w:tcW w:type="dxa" w:w="3360"/>
            <w:vAlign w:val="center"/>
          </w:tcPr>
          <w:p>
            <w:r>
              <w:t>Controlled integration data</w:t>
            </w:r>
          </w:p>
        </w:tc>
      </w:tr>
      <w:tr>
        <w:tc>
          <w:tcPr>
            <w:tcW w:type="dxa" w:w="3360"/>
            <w:vAlign w:val="center"/>
          </w:tcPr>
          <w:p>
            <w:r>
              <w:t>UAT</w:t>
            </w:r>
          </w:p>
        </w:tc>
        <w:tc>
          <w:tcPr>
            <w:tcW w:type="dxa" w:w="3360"/>
            <w:vAlign w:val="center"/>
          </w:tcPr>
          <w:p>
            <w:r>
              <w:t>Business acceptance</w:t>
            </w:r>
          </w:p>
        </w:tc>
        <w:tc>
          <w:tcPr>
            <w:tcW w:type="dxa" w:w="3360"/>
            <w:vAlign w:val="center"/>
          </w:tcPr>
          <w:p>
            <w:r>
              <w:t>Business-representative non-production data</w:t>
            </w:r>
          </w:p>
        </w:tc>
      </w:tr>
      <w:tr>
        <w:tc>
          <w:tcPr>
            <w:tcW w:type="dxa" w:w="3360"/>
            <w:vAlign w:val="center"/>
          </w:tcPr>
          <w:p>
            <w:r>
              <w:t>STAGING / PRE-PROD</w:t>
            </w:r>
          </w:p>
        </w:tc>
        <w:tc>
          <w:tcPr>
            <w:tcW w:type="dxa" w:w="3360"/>
            <w:vAlign w:val="center"/>
          </w:tcPr>
          <w:p>
            <w:r>
              <w:t>Production-like release validation</w:t>
            </w:r>
          </w:p>
        </w:tc>
        <w:tc>
          <w:tcPr>
            <w:tcW w:type="dxa" w:w="3360"/>
            <w:vAlign w:val="center"/>
          </w:tcPr>
          <w:p>
            <w:r>
              <w:t>Masked/synthetic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PROD</w:t>
            </w:r>
          </w:p>
        </w:tc>
        <w:tc>
          <w:tcPr>
            <w:tcW w:type="dxa" w:w="3360"/>
            <w:vAlign w:val="center"/>
          </w:tcPr>
          <w:p>
            <w:r>
              <w:t>Real customer usage</w:t>
            </w:r>
          </w:p>
        </w:tc>
        <w:tc>
          <w:tcPr>
            <w:tcW w:type="dxa" w:w="3360"/>
            <w:vAlign w:val="center"/>
          </w:tcPr>
          <w:p>
            <w:r>
              <w:t>Real protected business data</w:t>
            </w:r>
          </w:p>
        </w:tc>
      </w:tr>
    </w:tbl>
    <w:p/>
    <w:p>
      <w:pPr>
        <w:pStyle w:val="Heading1"/>
      </w:pPr>
      <w:r>
        <w:t>8. Error Handling Requirements</w:t>
      </w:r>
    </w:p>
    <w:p>
      <w:pPr>
        <w:pStyle w:val="ListBullet"/>
      </w:pPr>
      <w:r>
        <w:t>Validation failures return deterministic client-visible outcomes appropriate to the API contract.</w:t>
      </w:r>
    </w:p>
    <w:p>
      <w:pPr>
        <w:pStyle w:val="ListBullet"/>
      </w:pPr>
      <w:r>
        <w:t>Database/transaction failure must not expose a partial successful financial result.</w:t>
      </w:r>
    </w:p>
    <w:p>
      <w:pPr>
        <w:pStyle w:val="ListBullet"/>
      </w:pPr>
      <w:r>
        <w:t>Notification failure must be separately observable from transfer failure.</w:t>
      </w:r>
    </w:p>
    <w:p>
      <w:pPr>
        <w:pStyle w:val="ListBullet"/>
      </w:pPr>
      <w:r>
        <w:t>Internal exceptions and secrets must not be exposed directly to end users.</w:t>
      </w:r>
    </w:p>
    <w:p>
      <w:pPr>
        <w:pStyle w:val="ListBullet"/>
      </w:pPr>
      <w:r>
        <w:t>Retry behaviour for financial operations must be explicitly designed to avoid duplicate transfers.</w:t>
      </w:r>
    </w:p>
    <w:p>
      <w:pPr>
        <w:pStyle w:val="Heading1"/>
      </w:pPr>
      <w:r>
        <w:t>9. Testability and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Example Test Evidence</w:t>
            </w:r>
          </w:p>
        </w:tc>
      </w:tr>
      <w:tr>
        <w:tc>
          <w:tcPr>
            <w:tcW w:type="dxa" w:w="5040"/>
            <w:vAlign w:val="center"/>
          </w:tcPr>
          <w:p>
            <w:r>
              <w:t>SRS-F-03</w:t>
            </w:r>
          </w:p>
        </w:tc>
        <w:tc>
          <w:tcPr>
            <w:tcW w:type="dxa" w:w="5040"/>
            <w:vAlign w:val="center"/>
          </w:tcPr>
          <w:p>
            <w:r>
              <w:t>Boundary tests for amount, limits and balance.</w:t>
            </w:r>
          </w:p>
        </w:tc>
      </w:tr>
      <w:tr>
        <w:tc>
          <w:tcPr>
            <w:tcW w:type="dxa" w:w="5040"/>
            <w:vAlign w:val="center"/>
          </w:tcPr>
          <w:p>
            <w:r>
              <w:t>SRS-F-04</w:t>
            </w:r>
          </w:p>
        </w:tc>
        <w:tc>
          <w:tcPr>
            <w:tcW w:type="dxa" w:w="5040"/>
            <w:vAlign w:val="center"/>
          </w:tcPr>
          <w:p>
            <w:r>
              <w:t>Forced failure test proving rollback/consistency.</w:t>
            </w:r>
          </w:p>
        </w:tc>
      </w:tr>
      <w:tr>
        <w:tc>
          <w:tcPr>
            <w:tcW w:type="dxa" w:w="5040"/>
            <w:vAlign w:val="center"/>
          </w:tcPr>
          <w:p>
            <w:r>
              <w:t>SRS-F-08</w:t>
            </w:r>
          </w:p>
        </w:tc>
        <w:tc>
          <w:tcPr>
            <w:tcW w:type="dxa" w:w="5040"/>
            <w:vAlign w:val="center"/>
          </w:tcPr>
          <w:p>
            <w:r>
              <w:t>Notification unavailable test proving transfer remains committed.</w:t>
            </w:r>
          </w:p>
        </w:tc>
      </w:tr>
      <w:tr>
        <w:tc>
          <w:tcPr>
            <w:tcW w:type="dxa" w:w="5040"/>
            <w:vAlign w:val="center"/>
          </w:tcPr>
          <w:p>
            <w:r>
              <w:t>NFR-01</w:t>
            </w:r>
          </w:p>
        </w:tc>
        <w:tc>
          <w:tcPr>
            <w:tcW w:type="dxa" w:w="5040"/>
            <w:vAlign w:val="center"/>
          </w:tcPr>
          <w:p>
            <w:r>
              <w:t>Performance test report with workload and percentile latency.</w:t>
            </w:r>
          </w:p>
        </w:tc>
      </w:tr>
      <w:tr>
        <w:tc>
          <w:tcPr>
            <w:tcW w:type="dxa" w:w="5040"/>
            <w:vAlign w:val="center"/>
          </w:tcPr>
          <w:p>
            <w:r>
              <w:t>NFR-05</w:t>
            </w:r>
          </w:p>
        </w:tc>
        <w:tc>
          <w:tcPr>
            <w:tcW w:type="dxa" w:w="5040"/>
            <w:vAlign w:val="center"/>
          </w:tcPr>
          <w:p>
            <w:r>
              <w:t>Logs/metrics showing success, rejection and dependency failure.</w:t>
            </w:r>
          </w:p>
        </w:tc>
      </w:tr>
    </w:tbl>
    <w:p/>
    <w:p>
      <w:pPr>
        <w:pStyle w:val="Heading1"/>
      </w:pPr>
      <w:r>
        <w:t>10. Open Items for a Real Production SRS</w:t>
      </w:r>
    </w:p>
    <w:p>
      <w:pPr>
        <w:pStyle w:val="ListBullet"/>
      </w:pPr>
      <w:r>
        <w:t>Exact authentication and authorization model.</w:t>
      </w:r>
    </w:p>
    <w:p>
      <w:pPr>
        <w:pStyle w:val="ListBullet"/>
      </w:pPr>
      <w:r>
        <w:t>Exact API schema, endpoint paths and error-code catalogue.</w:t>
      </w:r>
    </w:p>
    <w:p>
      <w:pPr>
        <w:pStyle w:val="ListBullet"/>
      </w:pPr>
      <w:r>
        <w:t>Transfer/daily limit values and timezone/reset rules.</w:t>
      </w:r>
    </w:p>
    <w:p>
      <w:pPr>
        <w:pStyle w:val="ListBullet"/>
      </w:pPr>
      <w:r>
        <w:t>Idempotency/duplicate-request strategy.</w:t>
      </w:r>
    </w:p>
    <w:p>
      <w:pPr>
        <w:pStyle w:val="ListBullet"/>
      </w:pPr>
      <w:r>
        <w:t>Performance SLOs and capacity assumptions.</w:t>
      </w:r>
    </w:p>
    <w:p>
      <w:pPr>
        <w:pStyle w:val="ListBullet"/>
      </w:pPr>
      <w:r>
        <w:t>Availability SLO, RTO and RPO.</w:t>
      </w:r>
    </w:p>
    <w:p>
      <w:pPr>
        <w:pStyle w:val="ListBullet"/>
      </w:pPr>
      <w:r>
        <w:t>Backup retention and restore procedure.</w:t>
      </w:r>
    </w:p>
    <w:p>
      <w:pPr>
        <w:pStyle w:val="ListBullet"/>
      </w:pPr>
      <w:r>
        <w:t>Audit, privacy, regulatory and data-retention requirements.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