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412d8859710fa53785f20d25d4c6c33a0cf4141"/>
    <w:p>
      <w:pPr>
        <w:pStyle w:val="Heading1"/>
      </w:pPr>
      <w:r>
        <w:t xml:space="preserve">HewMann Experience – Brand, Services &amp; Website Knowledge Base</w:t>
      </w:r>
    </w:p>
    <w:p>
      <w:pPr>
        <w:pStyle w:val="FirstParagraph"/>
      </w:pPr>
      <w:r>
        <w:rPr>
          <w:b/>
          <w:bCs/>
        </w:rPr>
        <w:t xml:space="preserve">Source:</w:t>
      </w:r>
      <w:r>
        <w:t xml:space="preserve"> </w:t>
      </w:r>
      <w:r>
        <w:t xml:space="preserve">Website Brand &amp; Business Alignment Review (hewmannexperience.com, reviewed April 12, 2026)</w:t>
      </w:r>
    </w:p>
    <w:p>
      <w:r>
        <w:pict>
          <v:rect style="width:0;height:1.5pt" o:hralign="center" o:hrstd="t" o:hr="t"/>
        </w:pict>
      </w:r>
    </w:p>
    <w:bookmarkStart w:id="20" w:name="about-hewmann-experience"/>
    <w:p>
      <w:pPr>
        <w:pStyle w:val="Heading2"/>
      </w:pPr>
      <w:r>
        <w:t xml:space="preserve">About HewMann Experience</w:t>
      </w:r>
    </w:p>
    <w:p>
      <w:pPr>
        <w:pStyle w:val="FirstParagraph"/>
      </w:pPr>
      <w:r>
        <w:rPr>
          <w:b/>
          <w:bCs/>
        </w:rPr>
        <w:t xml:space="preserve">HewMann Experience</w:t>
      </w:r>
      <w:r>
        <w:t xml:space="preserve"> </w:t>
      </w:r>
      <w:r>
        <w:t xml:space="preserve">is a premium, private-pay, non-clinical advocacy and family support service run by</w:t>
      </w:r>
      <w:r>
        <w:t xml:space="preserve"> </w:t>
      </w:r>
      <w:r>
        <w:rPr>
          <w:b/>
          <w:bCs/>
        </w:rPr>
        <w:t xml:space="preserve">Natasha Hewlett Mann</w:t>
      </w:r>
      <w:r>
        <w:t xml:space="preserve">. It is designed for families navigating neurodivergence, school systems, overwhelm, and complex decisions.</w:t>
      </w:r>
    </w:p>
    <w:p>
      <w:pPr>
        <w:pStyle w:val="BodyText"/>
      </w:pPr>
      <w:r>
        <w:t xml:space="preserve">The business is personal, professional, and premium — not generic, not clinical, and not transactional.</w:t>
      </w:r>
    </w:p>
    <w:p>
      <w:r>
        <w:pict>
          <v:rect style="width:0;height:1.5pt" o:hralign="center" o:hrstd="t" o:hr="t"/>
        </w:pict>
      </w:r>
    </w:p>
    <w:bookmarkEnd w:id="20"/>
    <w:bookmarkStart w:id="21" w:name="what-hewmann-experience-offers"/>
    <w:p>
      <w:pPr>
        <w:pStyle w:val="Heading2"/>
      </w:pPr>
      <w:r>
        <w:t xml:space="preserve">What HewMann Experience Offers</w:t>
      </w:r>
    </w:p>
    <w:p>
      <w:pPr>
        <w:pStyle w:val="FirstParagraph"/>
      </w:pPr>
      <w:r>
        <w:t xml:space="preserve">HewMann Experience provides</w:t>
      </w:r>
      <w:r>
        <w:t xml:space="preserve"> </w:t>
      </w:r>
      <w:r>
        <w:rPr>
          <w:b/>
          <w:bCs/>
        </w:rPr>
        <w:t xml:space="preserve">non-clinical, high-touch advocacy, strategy, and family support</w:t>
      </w:r>
      <w:r>
        <w:t xml:space="preserve">, including:</w:t>
      </w:r>
    </w:p>
    <w:p>
      <w:pPr>
        <w:pStyle w:val="Compact"/>
        <w:numPr>
          <w:ilvl w:val="0"/>
          <w:numId w:val="1001"/>
        </w:numPr>
      </w:pPr>
      <w:r>
        <w:rPr>
          <w:b/>
          <w:bCs/>
        </w:rPr>
        <w:t xml:space="preserve">Meeting preparation</w:t>
      </w:r>
      <w:r>
        <w:t xml:space="preserve"> </w:t>
      </w:r>
      <w:r>
        <w:t xml:space="preserve">— helping parents prepare for ARD, IEP, and 504 meetings</w:t>
      </w:r>
    </w:p>
    <w:p>
      <w:pPr>
        <w:pStyle w:val="Compact"/>
        <w:numPr>
          <w:ilvl w:val="0"/>
          <w:numId w:val="1001"/>
        </w:numPr>
      </w:pPr>
      <w:r>
        <w:rPr>
          <w:b/>
          <w:bCs/>
        </w:rPr>
        <w:t xml:space="preserve">Record review</w:t>
      </w:r>
      <w:r>
        <w:t xml:space="preserve"> </w:t>
      </w:r>
      <w:r>
        <w:t xml:space="preserve">— organizing and reviewing school documents, evaluations, and correspondence</w:t>
      </w:r>
    </w:p>
    <w:p>
      <w:pPr>
        <w:pStyle w:val="Compact"/>
        <w:numPr>
          <w:ilvl w:val="0"/>
          <w:numId w:val="1001"/>
        </w:numPr>
      </w:pPr>
      <w:r>
        <w:rPr>
          <w:b/>
          <w:bCs/>
        </w:rPr>
        <w:t xml:space="preserve">Strategic guidance</w:t>
      </w:r>
      <w:r>
        <w:t xml:space="preserve"> </w:t>
      </w:r>
      <w:r>
        <w:t xml:space="preserve">— helping families move forward with more confidence and less confusion</w:t>
      </w:r>
    </w:p>
    <w:p>
      <w:pPr>
        <w:pStyle w:val="Compact"/>
        <w:numPr>
          <w:ilvl w:val="0"/>
          <w:numId w:val="1001"/>
        </w:numPr>
      </w:pPr>
      <w:r>
        <w:rPr>
          <w:b/>
          <w:bCs/>
        </w:rPr>
        <w:t xml:space="preserve">School communication support</w:t>
      </w:r>
      <w:r>
        <w:t xml:space="preserve"> </w:t>
      </w:r>
      <w:r>
        <w:t xml:space="preserve">— helping parents document, organize questions, and respond effectively</w:t>
      </w:r>
    </w:p>
    <w:p>
      <w:pPr>
        <w:pStyle w:val="Compact"/>
        <w:numPr>
          <w:ilvl w:val="0"/>
          <w:numId w:val="1001"/>
        </w:numPr>
      </w:pPr>
      <w:r>
        <w:rPr>
          <w:b/>
          <w:bCs/>
        </w:rPr>
        <w:t xml:space="preserve">Advocacy coaching</w:t>
      </w:r>
      <w:r>
        <w:t xml:space="preserve"> </w:t>
      </w:r>
      <w:r>
        <w:t xml:space="preserve">— supporting parents before, during, and after school meetings</w:t>
      </w:r>
    </w:p>
    <w:p>
      <w:pPr>
        <w:pStyle w:val="Compact"/>
        <w:numPr>
          <w:ilvl w:val="0"/>
          <w:numId w:val="1001"/>
        </w:numPr>
      </w:pPr>
      <w:r>
        <w:rPr>
          <w:b/>
          <w:bCs/>
        </w:rPr>
        <w:t xml:space="preserve">Transition planning and next-step strategy</w:t>
      </w:r>
    </w:p>
    <w:p>
      <w:pPr>
        <w:pStyle w:val="Compact"/>
        <w:numPr>
          <w:ilvl w:val="0"/>
          <w:numId w:val="1001"/>
        </w:numPr>
      </w:pPr>
      <w:r>
        <w:rPr>
          <w:b/>
          <w:bCs/>
        </w:rPr>
        <w:t xml:space="preserve">Family-centered support</w:t>
      </w:r>
      <w:r>
        <w:t xml:space="preserve"> </w:t>
      </w:r>
      <w:r>
        <w:t xml:space="preserve">for parents navigating neurodivergent parenting, daily overwhelm, and complex decisions</w:t>
      </w:r>
    </w:p>
    <w:p>
      <w:pPr>
        <w:pStyle w:val="FirstParagraph"/>
      </w:pPr>
      <w:r>
        <w:t xml:space="preserve">HewMann Experience does</w:t>
      </w:r>
      <w:r>
        <w:t xml:space="preserve"> </w:t>
      </w:r>
      <w:r>
        <w:rPr>
          <w:b/>
          <w:bCs/>
        </w:rPr>
        <w:t xml:space="preserve">not</w:t>
      </w:r>
      <w:r>
        <w:t xml:space="preserve"> </w:t>
      </w:r>
      <w:r>
        <w:t xml:space="preserve">provide legal advice, legal representation, therapy, counseling, psychological services, medical treatment, or crisis services.</w:t>
      </w:r>
    </w:p>
    <w:p>
      <w:r>
        <w:pict>
          <v:rect style="width:0;height:1.5pt" o:hralign="center" o:hrstd="t" o:hr="t"/>
        </w:pict>
      </w:r>
    </w:p>
    <w:bookmarkEnd w:id="21"/>
    <w:bookmarkStart w:id="22" w:name="who-hewmann-experience-helps"/>
    <w:p>
      <w:pPr>
        <w:pStyle w:val="Heading2"/>
      </w:pPr>
      <w:r>
        <w:t xml:space="preserve">Who HewMann Experience Helps</w:t>
      </w:r>
    </w:p>
    <w:p>
      <w:pPr>
        <w:pStyle w:val="FirstParagraph"/>
      </w:pPr>
      <w:r>
        <w:t xml:space="preserve">HewMann Experience supports parents and caregivers who are raising neurodivergent children and need trusted guidance, practical strategy, and a calmer path forward. This includes:</w:t>
      </w:r>
    </w:p>
    <w:p>
      <w:pPr>
        <w:pStyle w:val="Compact"/>
        <w:numPr>
          <w:ilvl w:val="0"/>
          <w:numId w:val="1002"/>
        </w:numPr>
      </w:pPr>
      <w:r>
        <w:t xml:space="preserve">Parents of children with</w:t>
      </w:r>
      <w:r>
        <w:t xml:space="preserve"> </w:t>
      </w:r>
      <w:r>
        <w:rPr>
          <w:b/>
          <w:bCs/>
        </w:rPr>
        <w:t xml:space="preserve">ADHD, autism, or executive functioning challenges</w:t>
      </w:r>
    </w:p>
    <w:p>
      <w:pPr>
        <w:pStyle w:val="Compact"/>
        <w:numPr>
          <w:ilvl w:val="0"/>
          <w:numId w:val="1002"/>
        </w:numPr>
      </w:pPr>
      <w:r>
        <w:t xml:space="preserve">Caregivers preparing for</w:t>
      </w:r>
      <w:r>
        <w:t xml:space="preserve"> </w:t>
      </w:r>
      <w:r>
        <w:rPr>
          <w:b/>
          <w:bCs/>
        </w:rPr>
        <w:t xml:space="preserve">ARD, IEP, or 504-related conversations</w:t>
      </w:r>
    </w:p>
    <w:p>
      <w:pPr>
        <w:pStyle w:val="Compact"/>
        <w:numPr>
          <w:ilvl w:val="0"/>
          <w:numId w:val="1002"/>
        </w:numPr>
      </w:pPr>
      <w:r>
        <w:t xml:space="preserve">Families who need support</w:t>
      </w:r>
      <w:r>
        <w:t xml:space="preserve"> </w:t>
      </w:r>
      <w:r>
        <w:rPr>
          <w:b/>
          <w:bCs/>
        </w:rPr>
        <w:t xml:space="preserve">organizing questions, documents, and next steps</w:t>
      </w:r>
    </w:p>
    <w:p>
      <w:pPr>
        <w:pStyle w:val="Compact"/>
        <w:numPr>
          <w:ilvl w:val="0"/>
          <w:numId w:val="1002"/>
        </w:numPr>
      </w:pPr>
      <w:r>
        <w:t xml:space="preserve">Parents feeling overwhelmed by</w:t>
      </w:r>
      <w:r>
        <w:t xml:space="preserve"> </w:t>
      </w:r>
      <w:r>
        <w:rPr>
          <w:b/>
          <w:bCs/>
        </w:rPr>
        <w:t xml:space="preserve">school communication, decisions, and advocacy demands</w:t>
      </w:r>
    </w:p>
    <w:p>
      <w:pPr>
        <w:pStyle w:val="Compact"/>
        <w:numPr>
          <w:ilvl w:val="0"/>
          <w:numId w:val="1002"/>
        </w:numPr>
      </w:pPr>
      <w:r>
        <w:t xml:space="preserve">Families seeking a</w:t>
      </w:r>
      <w:r>
        <w:t xml:space="preserve"> </w:t>
      </w:r>
      <w:r>
        <w:rPr>
          <w:b/>
          <w:bCs/>
        </w:rPr>
        <w:t xml:space="preserve">strategic, compassionate partner</w:t>
      </w:r>
      <w:r>
        <w:t xml:space="preserve"> </w:t>
      </w:r>
      <w:r>
        <w:t xml:space="preserve">— not a one-size-fits-all approach</w:t>
      </w:r>
    </w:p>
    <w:p>
      <w:pPr>
        <w:pStyle w:val="Compact"/>
        <w:numPr>
          <w:ilvl w:val="0"/>
          <w:numId w:val="1002"/>
        </w:numPr>
      </w:pPr>
      <w:r>
        <w:t xml:space="preserve">Texas families navigating</w:t>
      </w:r>
      <w:r>
        <w:t xml:space="preserve"> </w:t>
      </w:r>
      <w:r>
        <w:rPr>
          <w:b/>
          <w:bCs/>
        </w:rPr>
        <w:t xml:space="preserve">ARD meetings, 504 plans, IEP processes, and school communication</w:t>
      </w:r>
    </w:p>
    <w:p>
      <w:r>
        <w:pict>
          <v:rect style="width:0;height:1.5pt" o:hralign="center" o:hrstd="t" o:hr="t"/>
        </w:pict>
      </w:r>
    </w:p>
    <w:bookmarkEnd w:id="22"/>
    <w:bookmarkStart w:id="23" w:name="texas-specific-focus"/>
    <w:p>
      <w:pPr>
        <w:pStyle w:val="Heading2"/>
      </w:pPr>
      <w:r>
        <w:t xml:space="preserve">Texas-Specific Focus</w:t>
      </w:r>
    </w:p>
    <w:p>
      <w:pPr>
        <w:pStyle w:val="FirstParagraph"/>
      </w:pPr>
      <w:r>
        <w:t xml:space="preserve">HewMann Experience has a strong focus on</w:t>
      </w:r>
      <w:r>
        <w:t xml:space="preserve"> </w:t>
      </w:r>
      <w:r>
        <w:rPr>
          <w:b/>
          <w:bCs/>
        </w:rPr>
        <w:t xml:space="preserve">Texas families</w:t>
      </w:r>
      <w:r>
        <w:t xml:space="preserve">. The service is especially relevant for families navigating:</w:t>
      </w:r>
    </w:p>
    <w:p>
      <w:pPr>
        <w:pStyle w:val="Compact"/>
        <w:numPr>
          <w:ilvl w:val="0"/>
          <w:numId w:val="1003"/>
        </w:numPr>
      </w:pPr>
      <w:r>
        <w:t xml:space="preserve">ARD (Admission, Review, and Dismissal) meetings</w:t>
      </w:r>
    </w:p>
    <w:p>
      <w:pPr>
        <w:pStyle w:val="Compact"/>
        <w:numPr>
          <w:ilvl w:val="0"/>
          <w:numId w:val="1003"/>
        </w:numPr>
      </w:pPr>
      <w:r>
        <w:t xml:space="preserve">IEP (Individualized Education Program) support</w:t>
      </w:r>
    </w:p>
    <w:p>
      <w:pPr>
        <w:pStyle w:val="Compact"/>
        <w:numPr>
          <w:ilvl w:val="0"/>
          <w:numId w:val="1003"/>
        </w:numPr>
      </w:pPr>
      <w:r>
        <w:t xml:space="preserve">Section 504 plans</w:t>
      </w:r>
    </w:p>
    <w:p>
      <w:pPr>
        <w:pStyle w:val="Compact"/>
        <w:numPr>
          <w:ilvl w:val="0"/>
          <w:numId w:val="1003"/>
        </w:numPr>
      </w:pPr>
      <w:r>
        <w:t xml:space="preserve">School accommodations</w:t>
      </w:r>
    </w:p>
    <w:p>
      <w:pPr>
        <w:pStyle w:val="Compact"/>
        <w:numPr>
          <w:ilvl w:val="0"/>
          <w:numId w:val="1003"/>
        </w:numPr>
      </w:pPr>
      <w:r>
        <w:t xml:space="preserve">School communication and documentation</w:t>
      </w:r>
    </w:p>
    <w:p>
      <w:pPr>
        <w:pStyle w:val="Compact"/>
        <w:numPr>
          <w:ilvl w:val="0"/>
          <w:numId w:val="1003"/>
        </w:numPr>
      </w:pPr>
      <w:r>
        <w:t xml:space="preserve">Parent preparation for meetings</w:t>
      </w:r>
    </w:p>
    <w:p>
      <w:pPr>
        <w:pStyle w:val="Compact"/>
        <w:numPr>
          <w:ilvl w:val="0"/>
          <w:numId w:val="1003"/>
        </w:numPr>
      </w:pPr>
      <w:r>
        <w:t xml:space="preserve">Support before, during, and after ARD meetings</w:t>
      </w:r>
    </w:p>
    <w:p>
      <w:pPr>
        <w:pStyle w:val="Compact"/>
        <w:numPr>
          <w:ilvl w:val="0"/>
          <w:numId w:val="1003"/>
        </w:numPr>
      </w:pPr>
      <w:r>
        <w:t xml:space="preserve">Transition planning and next-step strategy</w:t>
      </w:r>
    </w:p>
    <w:p>
      <w:pPr>
        <w:pStyle w:val="Compact"/>
        <w:numPr>
          <w:ilvl w:val="0"/>
          <w:numId w:val="1003"/>
        </w:numPr>
      </w:pPr>
      <w:r>
        <w:t xml:space="preserve">Advocacy for families navigating ADHD, autism, learning differences, executive functioning needs, and school-related overwhelm</w:t>
      </w:r>
    </w:p>
    <w:p>
      <w:r>
        <w:pict>
          <v:rect style="width:0;height:1.5pt" o:hralign="center" o:hrstd="t" o:hr="t"/>
        </w:pict>
      </w:r>
    </w:p>
    <w:bookmarkEnd w:id="23"/>
    <w:bookmarkStart w:id="24" w:name="about-the-founder-natasha-hewlett-mann"/>
    <w:p>
      <w:pPr>
        <w:pStyle w:val="Heading2"/>
      </w:pPr>
      <w:r>
        <w:t xml:space="preserve">About the Founder – Natasha Hewlett Mann</w:t>
      </w:r>
    </w:p>
    <w:p>
      <w:pPr>
        <w:pStyle w:val="FirstParagraph"/>
      </w:pPr>
      <w:r>
        <w:t xml:space="preserve">Natasha Hewlett Mann brings</w:t>
      </w:r>
      <w:r>
        <w:t xml:space="preserve"> </w:t>
      </w:r>
      <w:r>
        <w:rPr>
          <w:b/>
          <w:bCs/>
        </w:rPr>
        <w:t xml:space="preserve">lived experience, strategic advocacy, and professional training</w:t>
      </w:r>
      <w:r>
        <w:t xml:space="preserve"> </w:t>
      </w:r>
      <w:r>
        <w:t xml:space="preserve">in inclusion and belonging. Her qualifications include:</w:t>
      </w:r>
    </w:p>
    <w:p>
      <w:pPr>
        <w:pStyle w:val="Compact"/>
        <w:numPr>
          <w:ilvl w:val="0"/>
          <w:numId w:val="1004"/>
        </w:numPr>
      </w:pPr>
      <w:r>
        <w:rPr>
          <w:b/>
          <w:bCs/>
        </w:rPr>
        <w:t xml:space="preserve">DEI certification through Cornell University</w:t>
      </w:r>
      <w:r>
        <w:t xml:space="preserve">, with a background in inclusive practices and belonging-centered strategy.</w:t>
      </w:r>
    </w:p>
    <w:p>
      <w:pPr>
        <w:pStyle w:val="Compact"/>
        <w:numPr>
          <w:ilvl w:val="0"/>
          <w:numId w:val="1004"/>
        </w:numPr>
      </w:pPr>
      <w:r>
        <w:t xml:space="preserve">Deep personal and professional understanding of both the emotional and systems side of navigating neurodivergence.</w:t>
      </w:r>
    </w:p>
    <w:p>
      <w:pPr>
        <w:pStyle w:val="FirstParagraph"/>
      </w:pPr>
      <w:r>
        <w:t xml:space="preserve">Her approach is:</w:t>
      </w:r>
      <w:r>
        <w:t xml:space="preserve"> </w:t>
      </w:r>
      <w:r>
        <w:rPr>
          <w:b/>
          <w:bCs/>
        </w:rPr>
        <w:t xml:space="preserve">strategic, compassionate, empowering, polished, and grounded in belonging.</w:t>
      </w:r>
    </w:p>
    <w:p>
      <w:pPr>
        <w:pStyle w:val="BlockText"/>
      </w:pPr>
      <w:r>
        <w:t xml:space="preserve">“</w:t>
      </w:r>
      <w:r>
        <w:t xml:space="preserve">My work is grounded in both lived experience and professional training. I bring a strong background in inclusion, belonging, and systems-based support, including DEI certification through Cornell University. That perspective shapes how I serve families — with empathy, dignity, and a deep respect for what it means to help children and caregivers feel seen, supported, and better equipped to move forward.</w:t>
      </w:r>
      <w:r>
        <w:t xml:space="preserve">”</w:t>
      </w:r>
    </w:p>
    <w:p>
      <w:r>
        <w:pict>
          <v:rect style="width:0;height:1.5pt" o:hralign="center" o:hrstd="t" o:hr="t"/>
        </w:pict>
      </w:r>
    </w:p>
    <w:bookmarkEnd w:id="24"/>
    <w:bookmarkStart w:id="27" w:name="brand-identity"/>
    <w:p>
      <w:pPr>
        <w:pStyle w:val="Heading2"/>
      </w:pPr>
      <w:r>
        <w:t xml:space="preserve">Brand Identity</w:t>
      </w:r>
    </w:p>
    <w:bookmarkStart w:id="25" w:name="the-golden-butterfly"/>
    <w:p>
      <w:pPr>
        <w:pStyle w:val="Heading3"/>
      </w:pPr>
      <w:r>
        <w:t xml:space="preserve">The Golden Butterfly</w:t>
      </w:r>
    </w:p>
    <w:p>
      <w:pPr>
        <w:pStyle w:val="FirstParagraph"/>
      </w:pPr>
      <w:r>
        <w:t xml:space="preserve">The butterfly is a core part of the HewMann Experience brand identity.</w:t>
      </w:r>
    </w:p>
    <w:p>
      <w:pPr>
        <w:numPr>
          <w:ilvl w:val="0"/>
          <w:numId w:val="1005"/>
        </w:numPr>
      </w:pPr>
      <w:r>
        <w:rPr>
          <w:b/>
          <w:bCs/>
        </w:rPr>
        <w:t xml:space="preserve">The butterfly</w:t>
      </w:r>
      <w:r>
        <w:t xml:space="preserve"> </w:t>
      </w:r>
      <w:r>
        <w:t xml:space="preserve">represents transformation with intention. It reflects growth, resilience, and the beauty of becoming who you were always meant to be — even after challenge, change, or uncertainty. For the families and individuals served, it symbolizes support through transition, finding your voice, and moving from overwhelm to empowerment. Personally for Natasha, it represents grace, strength, and the courage to evolve while still honoring who you are at your core.</w:t>
      </w:r>
    </w:p>
    <w:p>
      <w:pPr>
        <w:numPr>
          <w:ilvl w:val="0"/>
          <w:numId w:val="1005"/>
        </w:numPr>
      </w:pPr>
      <w:r>
        <w:rPr>
          <w:b/>
          <w:bCs/>
        </w:rPr>
        <w:t xml:space="preserve">The gold color</w:t>
      </w:r>
      <w:r>
        <w:t xml:space="preserve"> </w:t>
      </w:r>
      <w:r>
        <w:t xml:space="preserve">reflects that transformation is not only beautiful, but valuable. Gold symbolizes excellence, warmth, worth, and refinement. It reflects the premium, intentional, and empowering experience of the brand. The gold butterfly represents rising through challenge and emerging with clarity, confidence, and purpose.</w:t>
      </w:r>
    </w:p>
    <w:bookmarkEnd w:id="25"/>
    <w:bookmarkStart w:id="26" w:name="brand-voice-tone"/>
    <w:p>
      <w:pPr>
        <w:pStyle w:val="Heading3"/>
      </w:pPr>
      <w:r>
        <w:t xml:space="preserve">Brand Voice &amp; Tone</w:t>
      </w:r>
    </w:p>
    <w:p>
      <w:pPr>
        <w:pStyle w:val="FirstParagraph"/>
      </w:pPr>
      <w:r>
        <w:t xml:space="preserve">The brand tone is:</w:t>
      </w:r>
      <w:r>
        <w:t xml:space="preserve"> </w:t>
      </w:r>
      <w:r>
        <w:rPr>
          <w:b/>
          <w:bCs/>
        </w:rPr>
        <w:t xml:space="preserve">warm, strategic, compassionate, empowering, polished, and grounded in belonging.</w:t>
      </w:r>
    </w:p>
    <w:p>
      <w:pPr>
        <w:pStyle w:val="BodyText"/>
      </w:pPr>
      <w:r>
        <w:t xml:space="preserve">Key words used in brand messaging:</w:t>
      </w:r>
      <w:r>
        <w:t xml:space="preserve"> </w:t>
      </w:r>
      <w:r>
        <w:rPr>
          <w:i/>
          <w:iCs/>
        </w:rPr>
        <w:t xml:space="preserve">clarity, strategy, advocacy, preparation, support, belonging, confidence, next steps.</w:t>
      </w:r>
    </w:p>
    <w:p>
      <w:pPr>
        <w:pStyle w:val="BodyText"/>
      </w:pPr>
      <w:r>
        <w:t xml:space="preserve">The service is described as:</w:t>
      </w:r>
      <w:r>
        <w:t xml:space="preserve"> </w:t>
      </w:r>
      <w:r>
        <w:rPr>
          <w:b/>
          <w:bCs/>
        </w:rPr>
        <w:t xml:space="preserve">elevated, credible, warm, and rooted in lived experience and strategic advocacy.</w:t>
      </w:r>
    </w:p>
    <w:p>
      <w:r>
        <w:pict>
          <v:rect style="width:0;height:1.5pt" o:hralign="center" o:hrstd="t" o:hr="t"/>
        </w:pict>
      </w:r>
    </w:p>
    <w:bookmarkEnd w:id="26"/>
    <w:bookmarkEnd w:id="27"/>
    <w:bookmarkStart w:id="28" w:name="scope-of-service-disclaimer"/>
    <w:p>
      <w:pPr>
        <w:pStyle w:val="Heading2"/>
      </w:pPr>
      <w:r>
        <w:t xml:space="preserve">Scope of Service – Disclaimer</w:t>
      </w:r>
    </w:p>
    <w:p>
      <w:pPr>
        <w:pStyle w:val="BlockText"/>
      </w:pPr>
      <w:r>
        <w:t xml:space="preserve">HewMann Experience provides non-clinical advocacy, coaching, consultation, education, and family-support services. Services are designed to help parents and caregivers better understand options, prepare for meetings, communicate more effectively, and navigate school and family systems with greater clarity.</w:t>
      </w:r>
    </w:p>
    <w:p>
      <w:pPr>
        <w:pStyle w:val="BlockText"/>
      </w:pPr>
      <w:r>
        <w:t xml:space="preserve">HewMann Experience does</w:t>
      </w:r>
      <w:r>
        <w:t xml:space="preserve"> </w:t>
      </w:r>
      <w:r>
        <w:rPr>
          <w:b/>
          <w:bCs/>
        </w:rPr>
        <w:t xml:space="preserve">not</w:t>
      </w:r>
      <w:r>
        <w:t xml:space="preserve"> </w:t>
      </w:r>
      <w:r>
        <w:t xml:space="preserve">provide legal advice, legal representation, therapy, counseling, psychological services, medical treatment, or crisis services. Use of the website or participation in services does not create an attorney-client, therapist-client, or medical-provider relationship. While the service works to support families in meaningful and informed ways, no specific educational, legal, medical, or school-based outcome can be guaranteed.</w:t>
      </w:r>
    </w:p>
    <w:p>
      <w:pPr>
        <w:pStyle w:val="FirstParagraph"/>
      </w:pPr>
      <w:r>
        <w:rPr>
          <w:b/>
          <w:bCs/>
        </w:rPr>
        <w:t xml:space="preserve">Short version:</w:t>
      </w:r>
      <w:r>
        <w:t xml:space="preserve"> </w:t>
      </w:r>
      <w:r>
        <w:t xml:space="preserve">HewMann Experience offers non-clinical advocacy and family-support services only and does not provide legal, medical, or therapeutic care, nor guarantee specific school or case outcomes.</w:t>
      </w:r>
    </w:p>
    <w:p>
      <w:r>
        <w:pict>
          <v:rect style="width:0;height:1.5pt" o:hralign="center" o:hrstd="t" o:hr="t"/>
        </w:pict>
      </w:r>
    </w:p>
    <w:bookmarkEnd w:id="28"/>
    <w:bookmarkStart w:id="29" w:name="approved-trust-statements"/>
    <w:p>
      <w:pPr>
        <w:pStyle w:val="Heading2"/>
      </w:pPr>
      <w:r>
        <w:t xml:space="preserve">Approved Trust Statements</w:t>
      </w:r>
    </w:p>
    <w:p>
      <w:pPr>
        <w:pStyle w:val="FirstParagraph"/>
      </w:pPr>
      <w:r>
        <w:t xml:space="preserve">The following statements reflect the service accurately and can be used in responses:</w:t>
      </w:r>
    </w:p>
    <w:p>
      <w:pPr>
        <w:pStyle w:val="Compact"/>
        <w:numPr>
          <w:ilvl w:val="0"/>
          <w:numId w:val="1006"/>
        </w:numPr>
      </w:pPr>
      <w:r>
        <w:t xml:space="preserve">Trusted support for families navigating ADHD, autism, executive functioning challenges, and school advocacy.</w:t>
      </w:r>
    </w:p>
    <w:p>
      <w:pPr>
        <w:pStyle w:val="Compact"/>
        <w:numPr>
          <w:ilvl w:val="0"/>
          <w:numId w:val="1006"/>
        </w:numPr>
      </w:pPr>
      <w:r>
        <w:t xml:space="preserve">Compassionate, strategy-centered guidance for parents navigating school systems and everyday overwhelm.</w:t>
      </w:r>
    </w:p>
    <w:p>
      <w:pPr>
        <w:pStyle w:val="Compact"/>
        <w:numPr>
          <w:ilvl w:val="0"/>
          <w:numId w:val="1006"/>
        </w:numPr>
      </w:pPr>
      <w:r>
        <w:t xml:space="preserve">Support designed for families who need clarity, structure, and advocacy in complex moments.</w:t>
      </w:r>
    </w:p>
    <w:p>
      <w:pPr>
        <w:pStyle w:val="Compact"/>
        <w:numPr>
          <w:ilvl w:val="0"/>
          <w:numId w:val="1006"/>
        </w:numPr>
      </w:pPr>
      <w:r>
        <w:t xml:space="preserve">Private-pay advocacy and coaching support rooted in lived experience, compassion, and practical strategy.</w:t>
      </w:r>
    </w:p>
    <w:p>
      <w:pPr>
        <w:pStyle w:val="Compact"/>
        <w:numPr>
          <w:ilvl w:val="0"/>
          <w:numId w:val="1006"/>
        </w:numPr>
      </w:pPr>
      <w:r>
        <w:t xml:space="preserve">Thoughtful guidance for parents seeking help with school communication, meetings, accommodations, and next steps.</w:t>
      </w:r>
    </w:p>
    <w:p>
      <w:pPr>
        <w:pStyle w:val="Compact"/>
        <w:numPr>
          <w:ilvl w:val="0"/>
          <w:numId w:val="1006"/>
        </w:numPr>
      </w:pPr>
      <w:r>
        <w:t xml:space="preserve">A supportive partner for families working through neurodivergent parenting, transitions, and educational planning.</w:t>
      </w:r>
    </w:p>
    <w:p>
      <w:pPr>
        <w:pStyle w:val="Compact"/>
        <w:numPr>
          <w:ilvl w:val="0"/>
          <w:numId w:val="1006"/>
        </w:numPr>
      </w:pPr>
      <w:r>
        <w:t xml:space="preserve">Family-centered advocacy that helps parents move forward with more confidence and less confusion.</w:t>
      </w:r>
    </w:p>
    <w:p>
      <w:pPr>
        <w:pStyle w:val="Compact"/>
        <w:numPr>
          <w:ilvl w:val="0"/>
          <w:numId w:val="1006"/>
        </w:numPr>
      </w:pPr>
      <w:r>
        <w:t xml:space="preserve">Belonging-based support for caregivers navigating systems that often feel overwhelming or unclear.</w:t>
      </w:r>
    </w:p>
    <w:p>
      <w:r>
        <w:pict>
          <v:rect style="width:0;height:1.5pt" o:hralign="center" o:hrstd="t" o:hr="t"/>
        </w:pict>
      </w:r>
    </w:p>
    <w:bookmarkEnd w:id="29"/>
    <w:bookmarkStart w:id="30" w:name="contact-information"/>
    <w:p>
      <w:pPr>
        <w:pStyle w:val="Heading2"/>
      </w:pPr>
      <w:r>
        <w:t xml:space="preserve">Contact Information</w:t>
      </w:r>
    </w:p>
    <w:p>
      <w:pPr>
        <w:pStyle w:val="Compact"/>
        <w:numPr>
          <w:ilvl w:val="0"/>
          <w:numId w:val="1007"/>
        </w:numPr>
      </w:pPr>
      <w:r>
        <w:rPr>
          <w:b/>
          <w:bCs/>
        </w:rPr>
        <w:t xml:space="preserve">Phone:</w:t>
      </w:r>
      <w:r>
        <w:t xml:space="preserve"> </w:t>
      </w:r>
      <w:r>
        <w:t xml:space="preserve">202-550-5010</w:t>
      </w:r>
    </w:p>
    <w:p>
      <w:pPr>
        <w:pStyle w:val="Compact"/>
        <w:numPr>
          <w:ilvl w:val="0"/>
          <w:numId w:val="1007"/>
        </w:numPr>
      </w:pPr>
      <w:r>
        <w:rPr>
          <w:b/>
          <w:bCs/>
        </w:rPr>
        <w:t xml:space="preserve">Email:</w:t>
      </w:r>
      <w:r>
        <w:t xml:space="preserve"> </w:t>
      </w:r>
      <w:r>
        <w:t xml:space="preserve">reach@natashahewlettmann.com</w:t>
      </w:r>
    </w:p>
    <w:p>
      <w:pPr>
        <w:pStyle w:val="Compact"/>
        <w:numPr>
          <w:ilvl w:val="0"/>
          <w:numId w:val="1007"/>
        </w:numPr>
      </w:pPr>
      <w:r>
        <w:rPr>
          <w:b/>
          <w:bCs/>
        </w:rPr>
        <w:t xml:space="preserve">Website:</w:t>
      </w:r>
      <w:r>
        <w:t xml:space="preserve"> </w:t>
      </w:r>
      <w:r>
        <w:t xml:space="preserve">www.HewMannExperienc.com</w:t>
      </w:r>
    </w:p>
    <w:p>
      <w:pPr>
        <w:pStyle w:val="Compact"/>
        <w:numPr>
          <w:ilvl w:val="0"/>
          <w:numId w:val="1007"/>
        </w:numPr>
      </w:pPr>
      <w:r>
        <w:rPr>
          <w:b/>
          <w:bCs/>
        </w:rPr>
        <w:t xml:space="preserve">Business Name:</w:t>
      </w:r>
      <w:r>
        <w:t xml:space="preserve"> </w:t>
      </w:r>
      <w:r>
        <w:t xml:space="preserve">HewMann Experience | Neurodivergent Advocacy</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2026-04-13T11:42:36Z</dcterms:created>
  <dcterms:modified xsi:type="dcterms:W3CDTF">2026-04-13T11:42:36Z</dcterms:modified>
</cp:coreProperties>
</file>

<file path=docProps/custom.xml><?xml version="1.0" encoding="utf-8"?>
<Properties xmlns="http://schemas.openxmlformats.org/officeDocument/2006/custom-properties" xmlns:vt="http://schemas.openxmlformats.org/officeDocument/2006/docPropsVTypes"/>
</file>