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03366"/>
          <w:sz w:val="36"/>
        </w:rPr>
        <w:t>Ideation Phase</w:t>
        <w:br/>
        <w:t>Define the Problem Statements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fill="F2F2F2"/>
          </w:tcPr>
          <w:p>
            <w:r>
              <w:rPr>
                <w:rFonts w:ascii="Arial" w:hAnsi="Arial"/>
                <w:b/>
                <w:sz w:val="20"/>
              </w:rPr>
              <w:t>Date</w:t>
            </w:r>
          </w:p>
        </w:tc>
        <w:tc>
          <w:tcPr>
            <w:tcW w:type="dxa" w:w="3120"/>
            <w:shd w:fill="F2F2F2"/>
          </w:tcPr>
          <w:p>
            <w:r>
              <w:rPr>
                <w:rFonts w:ascii="Arial" w:hAnsi="Arial"/>
                <w:b/>
                <w:sz w:val="20"/>
              </w:rPr>
              <w:t>Project Name</w:t>
            </w:r>
          </w:p>
        </w:tc>
        <w:tc>
          <w:tcPr>
            <w:tcW w:type="dxa" w:w="3120"/>
            <w:shd w:fill="F2F2F2"/>
          </w:tcPr>
          <w:p>
            <w:r>
              <w:rPr>
                <w:rFonts w:ascii="Arial" w:hAnsi="Arial"/>
                <w:b/>
                <w:sz w:val="20"/>
              </w:rPr>
              <w:t>Maximum Marks</w:t>
            </w:r>
          </w:p>
        </w:tc>
      </w:tr>
      <w:tr>
        <w:tc>
          <w:tcPr>
            <w:tcW w:type="dxa" w:w="3120"/>
          </w:tcPr>
          <w:p>
            <w:r>
              <w:rPr>
                <w:rFonts w:ascii="Arial" w:hAnsi="Arial"/>
                <w:sz w:val="20"/>
              </w:rPr>
              <w:t>13 July 2026</w:t>
            </w:r>
          </w:p>
        </w:tc>
        <w:tc>
          <w:tcPr>
            <w:tcW w:type="dxa" w:w="3120"/>
          </w:tcPr>
          <w:p>
            <w:r>
              <w:rPr>
                <w:rFonts w:ascii="Arial" w:hAnsi="Arial"/>
                <w:sz w:val="20"/>
              </w:rPr>
              <w:t>India's Agricultural Crop Production Analysis using Tableau</w:t>
            </w:r>
          </w:p>
        </w:tc>
        <w:tc>
          <w:tcPr>
            <w:tcW w:type="dxa" w:w="3120"/>
          </w:tcPr>
          <w:p>
            <w:r>
              <w:rPr>
                <w:rFonts w:ascii="Arial" w:hAnsi="Arial"/>
                <w:sz w:val="20"/>
              </w:rPr>
              <w:t>2 Marks</w:t>
            </w:r>
          </w:p>
        </w:tc>
      </w:tr>
    </w:tbl>
    <w:p>
      <w:r>
        <w:br/>
        <w:t>Customer Problem Statement Template:</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560"/>
        <w:gridCol w:w="1560"/>
        <w:gridCol w:w="1560"/>
        <w:gridCol w:w="1560"/>
        <w:gridCol w:w="1560"/>
        <w:gridCol w:w="1560"/>
      </w:tblGrid>
      <w:tr>
        <w:tc>
          <w:tcPr>
            <w:tcW w:type="dxa" w:w="1560"/>
            <w:shd w:fill="003366"/>
          </w:tcPr>
          <w:p>
            <w:r>
              <w:rPr>
                <w:rFonts w:ascii="Arial" w:hAnsi="Arial"/>
                <w:b/>
                <w:color w:val="FFFFFF"/>
                <w:sz w:val="20"/>
              </w:rPr>
              <w:t>Problem Statement (PS)</w:t>
            </w:r>
          </w:p>
        </w:tc>
        <w:tc>
          <w:tcPr>
            <w:tcW w:type="dxa" w:w="1560"/>
            <w:shd w:fill="003366"/>
          </w:tcPr>
          <w:p>
            <w:r>
              <w:rPr>
                <w:rFonts w:ascii="Arial" w:hAnsi="Arial"/>
                <w:b/>
                <w:color w:val="FFFFFF"/>
                <w:sz w:val="20"/>
              </w:rPr>
              <w:t>I am (Customer)</w:t>
            </w:r>
          </w:p>
        </w:tc>
        <w:tc>
          <w:tcPr>
            <w:tcW w:type="dxa" w:w="1560"/>
            <w:shd w:fill="003366"/>
          </w:tcPr>
          <w:p>
            <w:r>
              <w:rPr>
                <w:rFonts w:ascii="Arial" w:hAnsi="Arial"/>
                <w:b/>
                <w:color w:val="FFFFFF"/>
                <w:sz w:val="20"/>
              </w:rPr>
              <w:t>I’m trying to</w:t>
            </w:r>
          </w:p>
        </w:tc>
        <w:tc>
          <w:tcPr>
            <w:tcW w:type="dxa" w:w="1560"/>
            <w:shd w:fill="003366"/>
          </w:tcPr>
          <w:p>
            <w:r>
              <w:rPr>
                <w:rFonts w:ascii="Arial" w:hAnsi="Arial"/>
                <w:b/>
                <w:color w:val="FFFFFF"/>
                <w:sz w:val="20"/>
              </w:rPr>
              <w:t>But</w:t>
            </w:r>
          </w:p>
        </w:tc>
        <w:tc>
          <w:tcPr>
            <w:tcW w:type="dxa" w:w="1560"/>
            <w:shd w:fill="003366"/>
          </w:tcPr>
          <w:p>
            <w:r>
              <w:rPr>
                <w:rFonts w:ascii="Arial" w:hAnsi="Arial"/>
                <w:b/>
                <w:color w:val="FFFFFF"/>
                <w:sz w:val="20"/>
              </w:rPr>
              <w:t>Because</w:t>
            </w:r>
          </w:p>
        </w:tc>
        <w:tc>
          <w:tcPr>
            <w:tcW w:type="dxa" w:w="1560"/>
            <w:shd w:fill="003366"/>
          </w:tcPr>
          <w:p>
            <w:r>
              <w:rPr>
                <w:rFonts w:ascii="Arial" w:hAnsi="Arial"/>
                <w:b/>
                <w:color w:val="FFFFFF"/>
                <w:sz w:val="20"/>
              </w:rPr>
              <w:t>Which makes me feel</w:t>
            </w:r>
          </w:p>
        </w:tc>
      </w:tr>
      <w:tr>
        <w:tc>
          <w:tcPr>
            <w:tcW w:type="dxa" w:w="1560"/>
            <w:shd w:fill="F2F2F2"/>
          </w:tcPr>
          <w:p>
            <w:r>
              <w:rPr>
                <w:rFonts w:ascii="Arial" w:hAnsi="Arial"/>
                <w:b/>
                <w:sz w:val="19"/>
              </w:rPr>
              <w:t>PS-1</w:t>
            </w:r>
          </w:p>
        </w:tc>
        <w:tc>
          <w:tcPr>
            <w:tcW w:type="dxa" w:w="1560"/>
          </w:tcPr>
          <w:p>
            <w:r>
              <w:rPr>
                <w:rFonts w:ascii="Arial" w:hAnsi="Arial"/>
                <w:sz w:val="19"/>
              </w:rPr>
              <w:t>An agricultural analyst and policy researcher specializing in national food security and regional crop yields.</w:t>
            </w:r>
          </w:p>
        </w:tc>
        <w:tc>
          <w:tcPr>
            <w:tcW w:type="dxa" w:w="1560"/>
          </w:tcPr>
          <w:p>
            <w:r>
              <w:rPr>
                <w:rFonts w:ascii="Arial" w:hAnsi="Arial"/>
                <w:sz w:val="19"/>
              </w:rPr>
              <w:t>Evaluate historical data across states and seasons to identify production trends and optimize resource distribution.</w:t>
            </w:r>
          </w:p>
        </w:tc>
        <w:tc>
          <w:tcPr>
            <w:tcW w:type="dxa" w:w="1560"/>
          </w:tcPr>
          <w:p>
            <w:r>
              <w:rPr>
                <w:rFonts w:ascii="Arial" w:hAnsi="Arial"/>
                <w:sz w:val="19"/>
              </w:rPr>
              <w:t>I am buried in massive, fragmented spreadsheets that make cross-regional comparisons slow and error-prone.</w:t>
            </w:r>
          </w:p>
        </w:tc>
        <w:tc>
          <w:tcPr>
            <w:tcW w:type="dxa" w:w="1560"/>
          </w:tcPr>
          <w:p>
            <w:r>
              <w:rPr>
                <w:rFonts w:ascii="Arial" w:hAnsi="Arial"/>
                <w:sz w:val="19"/>
              </w:rPr>
              <w:t>Traditional spreadsheet tools lack the multi-dimensional processing power and dynamic maps needed to track complex geospatial patterns.</w:t>
            </w:r>
          </w:p>
        </w:tc>
        <w:tc>
          <w:tcPr>
            <w:tcW w:type="dxa" w:w="1560"/>
          </w:tcPr>
          <w:p>
            <w:r>
              <w:rPr>
                <w:rFonts w:ascii="Arial" w:hAnsi="Arial"/>
                <w:sz w:val="19"/>
              </w:rPr>
              <w:t>Frustrated and overwhelmed by the time wasted cleaning raw rows instead of deriving actionable strategic insights.</w:t>
            </w:r>
          </w:p>
        </w:tc>
      </w:tr>
      <w:tr>
        <w:tc>
          <w:tcPr>
            <w:tcW w:type="dxa" w:w="1560"/>
            <w:shd w:fill="F2F2F2"/>
          </w:tcPr>
          <w:p>
            <w:r>
              <w:rPr>
                <w:rFonts w:ascii="Arial" w:hAnsi="Arial"/>
                <w:b/>
                <w:sz w:val="19"/>
              </w:rPr>
              <w:t>PS-2</w:t>
            </w:r>
          </w:p>
        </w:tc>
        <w:tc>
          <w:tcPr>
            <w:tcW w:type="dxa" w:w="1560"/>
          </w:tcPr>
          <w:p>
            <w:r>
              <w:rPr>
                <w:rFonts w:ascii="Arial" w:hAnsi="Arial"/>
                <w:sz w:val="19"/>
              </w:rPr>
              <w:t>A regional agricultural officer and data-driven decision maker advising local farming communities.</w:t>
            </w:r>
          </w:p>
        </w:tc>
        <w:tc>
          <w:tcPr>
            <w:tcW w:type="dxa" w:w="1560"/>
          </w:tcPr>
          <w:p>
            <w:r>
              <w:rPr>
                <w:rFonts w:ascii="Arial" w:hAnsi="Arial"/>
                <w:sz w:val="19"/>
              </w:rPr>
              <w:t>Identify the most productive, high-yielding crop varieties suited for specific seasonal cycles and soil zones.</w:t>
            </w:r>
          </w:p>
        </w:tc>
        <w:tc>
          <w:tcPr>
            <w:tcW w:type="dxa" w:w="1560"/>
          </w:tcPr>
          <w:p>
            <w:r>
              <w:rPr>
                <w:rFonts w:ascii="Arial" w:hAnsi="Arial"/>
                <w:sz w:val="19"/>
              </w:rPr>
              <w:t>It is incredibly difficult to rapidly uncover hidden correlations or compare yield metrics against regional baselines.</w:t>
            </w:r>
          </w:p>
        </w:tc>
        <w:tc>
          <w:tcPr>
            <w:tcW w:type="dxa" w:w="1560"/>
          </w:tcPr>
          <w:p>
            <w:r>
              <w:rPr>
                <w:rFonts w:ascii="Arial" w:hAnsi="Arial"/>
                <w:sz w:val="19"/>
              </w:rPr>
              <w:t>Static charts and tabular data formats fail to offer intuitive filtering or real-time visual comparisons.</w:t>
            </w:r>
          </w:p>
        </w:tc>
        <w:tc>
          <w:tcPr>
            <w:tcW w:type="dxa" w:w="1560"/>
          </w:tcPr>
          <w:p>
            <w:r>
              <w:rPr>
                <w:rFonts w:ascii="Arial" w:hAnsi="Arial"/>
                <w:sz w:val="19"/>
              </w:rPr>
              <w:t>Disadvantaged and disconnected from the critical insights needed to confidently guide modern farming strategies.</w:t>
            </w:r>
          </w:p>
        </w:tc>
      </w:tr>
    </w:tbl>
    <w:p>
      <w:r>
        <w:rPr>
          <w:b/>
          <w:color w:val="003366"/>
          <w:sz w:val="28"/>
        </w:rPr>
        <w:br/>
        <w:t>1. Problem Statement</w:t>
      </w:r>
    </w:p>
    <w:p>
      <w:r>
        <w:rPr>
          <w:rFonts w:ascii="Arial" w:hAnsi="Arial"/>
          <w:sz w:val="22"/>
        </w:rPr>
        <w:t>Agriculture serves as the backbone of the Indian economy, employing a significant percentage of the workforce and ensuring food security across the country. Given India's vast geographic diversity, a massive volume of agricultural data is generated annually, capturing variations across different states, crop categories, seasons, and years. This dataset contains highly valuable insights regarding cultivation patterns, regional outputs, and changing environmental trends.</w:t>
        <w:br/>
        <w:br/>
        <w:t>However, extracting meaningful intelligence from these raw agricultural records presents a major bottleneck. Traditional methods rely almost entirely on static, spreadsheet-based analysis. When applied to large, multi-dimensional datasets, these traditional platforms struggle with slow processing speeds and fail to present geographic relationships clearly. Users must manually look through thousands of dense rows, making it difficult to compare state-wise performance, calculate crop yields, or identify seasonal shifts over time.</w:t>
        <w:br/>
        <w:br/>
        <w:t>To overcome these limitations, there is a clear need to transition from passive spreadsheets to interactive data visualization. Tableau Public was selected as the visualization platform for this project due to its capability to process large datasets and convert them into clean, responsive dashboards. By integrating interactive charts, geographical maps, filters, and timelines, the proposed solution significantly reduces manual data analysis effort. This system directly enables stakeholders to quickly isolate regional patterns, compare historical crop metrics, and translate raw numbers into clear, accessible visual insights.</w:t>
      </w:r>
    </w:p>
    <w:p>
      <w:r>
        <w:rPr>
          <w:b/>
          <w:color w:val="003366"/>
          <w:sz w:val="28"/>
        </w:rPr>
        <w:br/>
        <w:t>2. Project Objectives</w:t>
      </w:r>
    </w:p>
    <w:p>
      <w:pPr>
        <w:pStyle w:val="ListBullet"/>
      </w:pPr>
      <w:r>
        <w:rPr>
          <w:rFonts w:ascii="Arial" w:hAnsi="Arial"/>
          <w:sz w:val="22"/>
        </w:rPr>
        <w:t>Analyze National Production: Evaluate overall agricultural crop production patterns across India to establish comprehensive performance baselines.</w:t>
      </w:r>
    </w:p>
    <w:p>
      <w:pPr>
        <w:pStyle w:val="ListBullet"/>
      </w:pPr>
      <w:r>
        <w:rPr>
          <w:rFonts w:ascii="Arial" w:hAnsi="Arial"/>
          <w:sz w:val="22"/>
        </w:rPr>
        <w:t>Compare Regional Performance: Develop interactive, geographic map views to analyze and compare state-wise crop outputs seamlessly.</w:t>
      </w:r>
    </w:p>
    <w:p>
      <w:pPr>
        <w:pStyle w:val="ListBullet"/>
      </w:pPr>
      <w:r>
        <w:rPr>
          <w:rFonts w:ascii="Arial" w:hAnsi="Arial"/>
          <w:sz w:val="22"/>
        </w:rPr>
        <w:t>Assess Cultivated Area: Investigate the relationship between total cultivated area and final harvest volume for various crop varieties.</w:t>
      </w:r>
    </w:p>
    <w:p>
      <w:pPr>
        <w:pStyle w:val="ListBullet"/>
      </w:pPr>
      <w:r>
        <w:rPr>
          <w:rFonts w:ascii="Arial" w:hAnsi="Arial"/>
          <w:sz w:val="22"/>
        </w:rPr>
        <w:t>Evaluate Seasonal Trends: Break down crop performance patterns across distinct agricultural cycles, including Kharif, Rabi, and Zaid seasons.</w:t>
      </w:r>
    </w:p>
    <w:p>
      <w:pPr>
        <w:pStyle w:val="ListBullet"/>
      </w:pPr>
      <w:r>
        <w:rPr>
          <w:rFonts w:ascii="Arial" w:hAnsi="Arial"/>
          <w:sz w:val="22"/>
        </w:rPr>
        <w:t>Calculate Agricultural Yield: Analyze productivity metrics by determining the crop yield per unit area across different geographical zones using calculated fields.</w:t>
      </w:r>
    </w:p>
    <w:p>
      <w:pPr>
        <w:pStyle w:val="ListBullet"/>
      </w:pPr>
      <w:r>
        <w:rPr>
          <w:rFonts w:ascii="Arial" w:hAnsi="Arial"/>
          <w:sz w:val="22"/>
        </w:rPr>
        <w:t>Build Interactive Dashboards: Engineer cross-filtered Tableau dashboards that allow users to drill down into specific years, states, and crops dynamically.</w:t>
      </w:r>
    </w:p>
    <w:p>
      <w:pPr>
        <w:pStyle w:val="ListBullet"/>
      </w:pPr>
      <w:r>
        <w:rPr>
          <w:rFonts w:ascii="Arial" w:hAnsi="Arial"/>
          <w:sz w:val="22"/>
        </w:rPr>
        <w:t>Construct a Tableau Story: Organize the separate dashboards into a cohesive, narrative-driven Tableau Story that guides stakeholders from high-level summaries down to granular field insights.</w:t>
      </w:r>
    </w:p>
    <w:p>
      <w:pPr>
        <w:pStyle w:val="ListBullet"/>
      </w:pPr>
      <w:r>
        <w:rPr>
          <w:rFonts w:ascii="Arial" w:hAnsi="Arial"/>
          <w:sz w:val="22"/>
        </w:rPr>
        <w:t>Drive Data-Backed Decisions: Provide public administrators, researchers, and planners with an accessible analytical tool to support evidence-based planning and proactive resource allocation.</w:t>
      </w:r>
    </w:p>
    <w:p>
      <w:r>
        <w:rPr>
          <w:b/>
          <w:color w:val="003366"/>
          <w:sz w:val="28"/>
        </w:rPr>
        <w:br/>
        <w:t>3. Expected Outcomes</w:t>
      </w:r>
    </w:p>
    <w:p>
      <w:pPr>
        <w:pStyle w:val="ListBullet"/>
      </w:pPr>
      <w:r>
        <w:rPr>
          <w:rFonts w:ascii="Arial" w:hAnsi="Arial"/>
          <w:sz w:val="22"/>
        </w:rPr>
        <w:t>Enhanced Trend Identification: Users will gain a clear, long-term understanding of national agricultural shifts, making it simple to spot rising or declining crop trends over multiple decades.</w:t>
      </w:r>
    </w:p>
    <w:p>
      <w:pPr>
        <w:pStyle w:val="ListBullet"/>
      </w:pPr>
      <w:r>
        <w:rPr>
          <w:rFonts w:ascii="Arial" w:hAnsi="Arial"/>
          <w:sz w:val="22"/>
        </w:rPr>
        <w:t>Effortless Multi-Dimensional Comparisons: Stakeholders can execute instantaneous side-by-side visual comparisons between different states, seasonal cycles, and crop types without scanning text tables.</w:t>
      </w:r>
    </w:p>
    <w:p>
      <w:pPr>
        <w:pStyle w:val="ListBullet"/>
      </w:pPr>
      <w:r>
        <w:rPr>
          <w:rFonts w:ascii="Arial" w:hAnsi="Arial"/>
          <w:sz w:val="22"/>
        </w:rPr>
        <w:t>Dynamic User-Driven Exploration: The inclusion of intuitive dashboard filters will enable non-technical users to completely customize their view, self-selecting specific parameters relevant to their unique research needs.</w:t>
      </w:r>
    </w:p>
    <w:p>
      <w:pPr>
        <w:pStyle w:val="ListBullet"/>
      </w:pPr>
      <w:r>
        <w:rPr>
          <w:rFonts w:ascii="Arial" w:hAnsi="Arial"/>
          <w:sz w:val="22"/>
        </w:rPr>
        <w:t>Streamlined Decision Support: The interactive solution will significantly reduce the time required to compile reports, allowing policy planners and analysts to make faster, highly accurate, and data-backed decisions.</w:t>
      </w:r>
    </w:p>
    <w:p>
      <w:pPr>
        <w:pStyle w:val="ListBullet"/>
      </w:pPr>
      <w:r>
        <w:rPr>
          <w:rFonts w:ascii="Arial" w:hAnsi="Arial"/>
          <w:sz w:val="22"/>
        </w:rPr>
        <w:t>Scalable Data Synthesis: The project will successfully demonstrate how massive, complex spreadsheets can be compressed into a clear visual space that preserves data integrity while maximizing readability and insight generation.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