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4369853daf501efaa8b46ac9a908cb122d1c4a3"/>
    <w:p>
      <w:pPr>
        <w:pStyle w:val="Heading1"/>
      </w:pPr>
      <w:r>
        <w:t xml:space="preserve">Business Requirements Document — SwiftPay Mobile Wallet v2.0</w:t>
      </w:r>
    </w:p>
    <w:p>
      <w:pPr>
        <w:pStyle w:val="FirstParagraph"/>
      </w:pPr>
      <w:r>
        <w:rPr>
          <w:bCs/>
          <w:b/>
        </w:rPr>
        <w:t xml:space="preserve">Document ID:</w:t>
      </w:r>
      <w:r>
        <w:t xml:space="preserve"> </w:t>
      </w:r>
      <w:r>
        <w:t xml:space="preserve">SP-BRD-2026-014</w:t>
      </w:r>
      <w:r>
        <w:br/>
      </w:r>
      <w:r>
        <w:rPr>
          <w:bCs/>
          <w:b/>
        </w:rPr>
        <w:t xml:space="preserve">Version:</w:t>
      </w:r>
      <w:r>
        <w:t xml:space="preserve"> </w:t>
      </w:r>
      <w:r>
        <w:t xml:space="preserve">2.0</w:t>
      </w:r>
      <w:r>
        <w:br/>
      </w:r>
      <w:r>
        <w:rPr>
          <w:bCs/>
          <w:b/>
        </w:rPr>
        <w:t xml:space="preserve">Status:</w:t>
      </w:r>
      <w:r>
        <w:t xml:space="preserve"> </w:t>
      </w:r>
      <w:r>
        <w:t xml:space="preserve">Approved for development</w:t>
      </w:r>
      <w:r>
        <w:br/>
      </w:r>
      <w:r>
        <w:rPr>
          <w:bCs/>
          <w:b/>
        </w:rPr>
        <w:t xml:space="preserve">Prepared by:</w:t>
      </w:r>
      <w:r>
        <w:t xml:space="preserve"> </w:t>
      </w:r>
      <w:r>
        <w:t xml:space="preserve">Product Management, SwiftPay</w:t>
      </w:r>
      <w:r>
        <w:br/>
      </w:r>
      <w:r>
        <w:rPr>
          <w:bCs/>
          <w:b/>
        </w:rPr>
        <w:t xml:space="preserve">Approved by:</w:t>
      </w:r>
      <w:r>
        <w:t xml:space="preserve"> </w:t>
      </w:r>
      <w:r>
        <w:t xml:space="preserve">VP Product, VP Engineering, Chief Compliance Officer</w:t>
      </w:r>
    </w:p>
    <w:p>
      <w:r>
        <w:pict>
          <v:rect style="width:0;height:1.5pt" o:hralign="center" o:hrstd="t" o:hr="t"/>
        </w:pict>
      </w:r>
    </w:p>
    <w:bookmarkEnd w:id="20"/>
    <w:bookmarkStart w:id="28" w:name="part-1-document-framing"/>
    <w:p>
      <w:pPr>
        <w:pStyle w:val="Heading1"/>
      </w:pPr>
      <w:r>
        <w:t xml:space="preserve">Part 1 — Document Framing</w:t>
      </w:r>
    </w:p>
    <w:bookmarkStart w:id="21" w:name="executive-summary"/>
    <w:p>
      <w:pPr>
        <w:pStyle w:val="Heading2"/>
      </w:pPr>
      <w:r>
        <w:t xml:space="preserve">1.1 Executive Summary</w:t>
      </w:r>
    </w:p>
    <w:p>
      <w:pPr>
        <w:pStyle w:val="FirstParagraph"/>
      </w:pPr>
      <w:r>
        <w:t xml:space="preserve">SwiftPay Mobile Wallet v2.0 is the next major release of the SwiftPay consumer payments application. This release introduces multi-currency support, biometric authentication, peer-to-peer transfers, and a redesigned merchant payment flow. The goal is to expand SwiftPay’s addressable market by 40% over the next twelve months while improving daily active user engagement by 25%.</w:t>
      </w:r>
    </w:p>
    <w:p>
      <w:pPr>
        <w:pStyle w:val="BodyText"/>
      </w:pPr>
      <w:r>
        <w:t xml:space="preserve">The application will continue to support iOS 15 and above and Android 10 and above. Backend integrations include the Core Banking API, the Card Network gateway, the KYC verification service, and the Push Notification service.</w:t>
      </w:r>
    </w:p>
    <w:bookmarkEnd w:id="21"/>
    <w:bookmarkStart w:id="22" w:name="business-context"/>
    <w:p>
      <w:pPr>
        <w:pStyle w:val="Heading2"/>
      </w:pPr>
      <w:r>
        <w:t xml:space="preserve">1.2 Business Context</w:t>
      </w:r>
    </w:p>
    <w:p>
      <w:pPr>
        <w:pStyle w:val="FirstParagraph"/>
      </w:pPr>
      <w:r>
        <w:t xml:space="preserve">The mobile payments market has matured rapidly over the past three years. Competitor analysis shows that the leading wallet applications have all introduced biometric login, peer-to-peer transfers, and richer merchant payment experiences. SwiftPay’s current product gap is most pronounced in three areas: speed of login, ease of sending money to friends, and richness of merchant payment receipts.</w:t>
      </w:r>
    </w:p>
    <w:p>
      <w:pPr>
        <w:pStyle w:val="BodyText"/>
      </w:pPr>
      <w:r>
        <w:t xml:space="preserve">Customer research has also shown that the onboarding experience is a major drop-off point. Approximately 38% of users who begin registration do not complete KYC verification within the first 7 days. v2.0 is expected to address these gaps directly.</w:t>
      </w:r>
    </w:p>
    <w:bookmarkEnd w:id="22"/>
    <w:bookmarkStart w:id="23" w:name="project-goals"/>
    <w:p>
      <w:pPr>
        <w:pStyle w:val="Heading2"/>
      </w:pPr>
      <w:r>
        <w:t xml:space="preserve">1.3 Project Goals</w:t>
      </w:r>
    </w:p>
    <w:p>
      <w:pPr>
        <w:pStyle w:val="FirstParagraph"/>
      </w:pPr>
      <w:r>
        <w:t xml:space="preserve">The v2.0 release has five business goals:</w:t>
      </w:r>
      <w:r>
        <w:t xml:space="preserve"> </w:t>
      </w:r>
      <w:r>
        <w:t xml:space="preserve">- Reduce onboarding drop-off by introducing a smoother KYC flow and a clearer transaction-limit progression.</w:t>
      </w:r>
      <w:r>
        <w:t xml:space="preserve"> </w:t>
      </w:r>
      <w:r>
        <w:t xml:space="preserve">- Increase daily active users by 25% through faster login (biometrics) and improved engagement (peer-to-peer transfers).</w:t>
      </w:r>
      <w:r>
        <w:t xml:space="preserve"> </w:t>
      </w:r>
      <w:r>
        <w:t xml:space="preserve">- Expand the merchant network by enabling richer payment experiences and digital receipts.</w:t>
      </w:r>
      <w:r>
        <w:t xml:space="preserve"> </w:t>
      </w:r>
      <w:r>
        <w:t xml:space="preserve">- Maintain or improve regulatory compliance posture across all operating regions.</w:t>
      </w:r>
      <w:r>
        <w:t xml:space="preserve"> </w:t>
      </w:r>
      <w:r>
        <w:t xml:space="preserve">- Reduce average per-transaction support contact rate by 30%.</w:t>
      </w:r>
    </w:p>
    <w:bookmarkEnd w:id="23"/>
    <w:bookmarkStart w:id="26" w:name="scope"/>
    <w:p>
      <w:pPr>
        <w:pStyle w:val="Heading2"/>
      </w:pPr>
      <w:r>
        <w:t xml:space="preserve">1.4 Scope</w:t>
      </w:r>
    </w:p>
    <w:bookmarkStart w:id="24" w:name="in-scope"/>
    <w:p>
      <w:pPr>
        <w:pStyle w:val="Heading3"/>
      </w:pPr>
      <w:r>
        <w:t xml:space="preserve">In scope</w:t>
      </w:r>
    </w:p>
    <w:p>
      <w:pPr>
        <w:numPr>
          <w:ilvl w:val="0"/>
          <w:numId w:val="1001"/>
        </w:numPr>
        <w:pStyle w:val="Compact"/>
      </w:pPr>
      <w:r>
        <w:t xml:space="preserve">User onboarding, KYC verification, and progressive transaction limits.</w:t>
      </w:r>
    </w:p>
    <w:p>
      <w:pPr>
        <w:numPr>
          <w:ilvl w:val="0"/>
          <w:numId w:val="1001"/>
        </w:numPr>
        <w:pStyle w:val="Compact"/>
      </w:pPr>
      <w:r>
        <w:t xml:space="preserve">Biometric and PIN-based authentication; session management; suspicious activity detection.</w:t>
      </w:r>
    </w:p>
    <w:p>
      <w:pPr>
        <w:numPr>
          <w:ilvl w:val="0"/>
          <w:numId w:val="1001"/>
        </w:numPr>
        <w:pStyle w:val="Compact"/>
      </w:pPr>
      <w:r>
        <w:t xml:space="preserve">Wallet management; card linking; adding funds; bank withdrawals.</w:t>
      </w:r>
    </w:p>
    <w:p>
      <w:pPr>
        <w:numPr>
          <w:ilvl w:val="0"/>
          <w:numId w:val="1001"/>
        </w:numPr>
        <w:pStyle w:val="Compact"/>
      </w:pPr>
      <w:r>
        <w:t xml:space="preserve">Peer-to-peer transfers within SwiftPay.</w:t>
      </w:r>
    </w:p>
    <w:p>
      <w:pPr>
        <w:numPr>
          <w:ilvl w:val="0"/>
          <w:numId w:val="1001"/>
        </w:numPr>
        <w:pStyle w:val="Compact"/>
      </w:pPr>
      <w:r>
        <w:t xml:space="preserve">Merchant QR payments (EMVCo and proprietary).</w:t>
      </w:r>
    </w:p>
    <w:p>
      <w:pPr>
        <w:numPr>
          <w:ilvl w:val="0"/>
          <w:numId w:val="1001"/>
        </w:numPr>
        <w:pStyle w:val="Compact"/>
      </w:pPr>
      <w:r>
        <w:t xml:space="preserve">Transaction history; search; export; push, in-app, and email notifications.</w:t>
      </w:r>
    </w:p>
    <w:bookmarkEnd w:id="24"/>
    <w:bookmarkStart w:id="25" w:name="out-of-scope"/>
    <w:p>
      <w:pPr>
        <w:pStyle w:val="Heading3"/>
      </w:pPr>
      <w:r>
        <w:t xml:space="preserve">Out of scope</w:t>
      </w:r>
    </w:p>
    <w:p>
      <w:pPr>
        <w:numPr>
          <w:ilvl w:val="0"/>
          <w:numId w:val="1002"/>
        </w:numPr>
        <w:pStyle w:val="Compact"/>
      </w:pPr>
      <w:r>
        <w:t xml:space="preserve">International remittance and cross-border transfers.</w:t>
      </w:r>
    </w:p>
    <w:p>
      <w:pPr>
        <w:numPr>
          <w:ilvl w:val="0"/>
          <w:numId w:val="1002"/>
        </w:numPr>
        <w:pStyle w:val="Compact"/>
      </w:pPr>
      <w:r>
        <w:t xml:space="preserve">Cryptocurrency support.</w:t>
      </w:r>
    </w:p>
    <w:p>
      <w:pPr>
        <w:numPr>
          <w:ilvl w:val="0"/>
          <w:numId w:val="1002"/>
        </w:numPr>
        <w:pStyle w:val="Compact"/>
      </w:pPr>
      <w:r>
        <w:t xml:space="preserve">Lending or credit products.</w:t>
      </w:r>
    </w:p>
    <w:p>
      <w:pPr>
        <w:numPr>
          <w:ilvl w:val="0"/>
          <w:numId w:val="1002"/>
        </w:numPr>
        <w:pStyle w:val="Compact"/>
      </w:pPr>
      <w:r>
        <w:t xml:space="preserve">Merchant onboarding (handled by separate merchant portal).</w:t>
      </w:r>
    </w:p>
    <w:bookmarkEnd w:id="25"/>
    <w:bookmarkEnd w:id="26"/>
    <w:bookmarkStart w:id="27" w:name="stakeholders"/>
    <w:p>
      <w:pPr>
        <w:pStyle w:val="Heading2"/>
      </w:pPr>
      <w:r>
        <w:t xml:space="preserve">1.5 Stakeholders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Stakeholder Group</w:t>
            </w:r>
          </w:p>
        </w:tc>
      </w:tr>
      <w:tr>
        <w:tc>
          <w:tcPr/>
          <w:p>
            <w:pPr>
              <w:pStyle w:val="Compact"/>
              <w:jc w:val="left"/>
            </w:pPr>
            <w:r>
              <w:t xml:space="preserve">Sponsor</w:t>
            </w:r>
          </w:p>
        </w:tc>
        <w:tc>
          <w:tcPr/>
          <w:p>
            <w:pPr>
              <w:pStyle w:val="Compact"/>
              <w:jc w:val="left"/>
            </w:pPr>
            <w:r>
              <w:t xml:space="preserve">VP Product</w:t>
            </w:r>
          </w:p>
        </w:tc>
      </w:tr>
      <w:tr>
        <w:tc>
          <w:tcPr/>
          <w:p>
            <w:pPr>
              <w:pStyle w:val="Compact"/>
              <w:jc w:val="left"/>
            </w:pPr>
            <w:r>
              <w:t xml:space="preserve">Business owner</w:t>
            </w:r>
          </w:p>
        </w:tc>
        <w:tc>
          <w:tcPr/>
          <w:p>
            <w:pPr>
              <w:pStyle w:val="Compact"/>
              <w:jc w:val="left"/>
            </w:pPr>
            <w:r>
              <w:t xml:space="preserve">Director, Consumer Payments</w:t>
            </w:r>
          </w:p>
        </w:tc>
      </w:tr>
      <w:tr>
        <w:tc>
          <w:tcPr/>
          <w:p>
            <w:pPr>
              <w:pStyle w:val="Compact"/>
              <w:jc w:val="left"/>
            </w:pPr>
            <w:r>
              <w:t xml:space="preserve">Technical owner</w:t>
            </w:r>
          </w:p>
        </w:tc>
        <w:tc>
          <w:tcPr/>
          <w:p>
            <w:pPr>
              <w:pStyle w:val="Compact"/>
              <w:jc w:val="left"/>
            </w:pPr>
            <w:r>
              <w:t xml:space="preserve">VP Engineering</w:t>
            </w:r>
          </w:p>
        </w:tc>
      </w:tr>
      <w:tr>
        <w:tc>
          <w:tcPr/>
          <w:p>
            <w:pPr>
              <w:pStyle w:val="Compact"/>
              <w:jc w:val="left"/>
            </w:pPr>
            <w:r>
              <w:t xml:space="preserve">Compliance owner</w:t>
            </w:r>
          </w:p>
        </w:tc>
        <w:tc>
          <w:tcPr/>
          <w:p>
            <w:pPr>
              <w:pStyle w:val="Compact"/>
              <w:jc w:val="left"/>
            </w:pPr>
            <w:r>
              <w:t xml:space="preserve">Chief Compliance Officer</w:t>
            </w:r>
          </w:p>
        </w:tc>
      </w:tr>
      <w:tr>
        <w:tc>
          <w:tcPr/>
          <w:p>
            <w:pPr>
              <w:pStyle w:val="Compact"/>
              <w:jc w:val="left"/>
            </w:pPr>
            <w:r>
              <w:t xml:space="preserve">Operations</w:t>
            </w:r>
          </w:p>
        </w:tc>
        <w:tc>
          <w:tcPr/>
          <w:p>
            <w:pPr>
              <w:pStyle w:val="Compact"/>
              <w:jc w:val="left"/>
            </w:pPr>
            <w:r>
              <w:t xml:space="preserve">Customer Support Lead</w:t>
            </w:r>
          </w:p>
        </w:tc>
      </w:tr>
      <w:tr>
        <w:tc>
          <w:tcPr/>
          <w:p>
            <w:pPr>
              <w:pStyle w:val="Compact"/>
              <w:jc w:val="left"/>
            </w:pPr>
            <w:r>
              <w:t xml:space="preserve">Quality</w:t>
            </w:r>
          </w:p>
        </w:tc>
        <w:tc>
          <w:tcPr/>
          <w:p>
            <w:pPr>
              <w:pStyle w:val="Compact"/>
              <w:jc w:val="left"/>
            </w:pPr>
            <w:r>
              <w:t xml:space="preserve">QE Director</w:t>
            </w:r>
          </w:p>
        </w:tc>
      </w:tr>
    </w:tbl>
    <w:p>
      <w:r>
        <w:pict>
          <v:rect style="width:0;height:1.5pt" o:hralign="center" o:hrstd="t" o:hr="t"/>
        </w:pict>
      </w:r>
    </w:p>
    <w:bookmarkEnd w:id="27"/>
    <w:bookmarkEnd w:id="28"/>
    <w:bookmarkStart w:id="78" w:name="part-2-feature-requirements"/>
    <w:p>
      <w:pPr>
        <w:pStyle w:val="Heading1"/>
      </w:pPr>
      <w:r>
        <w:t xml:space="preserve">Part 2 — Feature Requirements</w:t>
      </w:r>
    </w:p>
    <w:bookmarkStart w:id="35" w:name="user-onboarding-registration"/>
    <w:p>
      <w:pPr>
        <w:pStyle w:val="Heading2"/>
      </w:pPr>
      <w:r>
        <w:t xml:space="preserve">2.1 User Onboarding &amp; Registration</w:t>
      </w:r>
    </w:p>
    <w:bookmarkStart w:id="29" w:name="purpose"/>
    <w:p>
      <w:pPr>
        <w:pStyle w:val="Heading3"/>
      </w:pPr>
      <w:r>
        <w:t xml:space="preserve">2.1.1 Purpose</w:t>
      </w:r>
    </w:p>
    <w:p>
      <w:pPr>
        <w:pStyle w:val="FirstParagraph"/>
      </w:pPr>
      <w:r>
        <w:t xml:space="preserve">This section defines the requirements for how a new user registers with SwiftPay, verifies their identity, and completes the onboarding journey before they can transact.</w:t>
      </w:r>
    </w:p>
    <w:bookmarkEnd w:id="29"/>
    <w:bookmarkStart w:id="30" w:name="registration-process"/>
    <w:p>
      <w:pPr>
        <w:pStyle w:val="Heading3"/>
      </w:pPr>
      <w:r>
        <w:t xml:space="preserve">2.1.2 Registration Process</w:t>
      </w:r>
    </w:p>
    <w:p>
      <w:pPr>
        <w:pStyle w:val="FirstParagraph"/>
      </w:pPr>
      <w:r>
        <w:t xml:space="preserve">New users will register using their mobile number. SwiftPay will accept mobile numbers only in the international E.164 format (for example, +14155552671). On submission, the system will generate a one-time password (OTP) and send it to the registered number via SMS.</w:t>
      </w:r>
    </w:p>
    <w:p>
      <w:pPr>
        <w:pStyle w:val="BodyText"/>
      </w:pPr>
      <w:r>
        <w:t xml:space="preserve">The OTP will be valid for 5 minutes from the time of generation. The user will be allowed a maximum of 3 OTP entry attempts within any 15-minute window. After 3 failed attempts, the account will be temporarily locked for 30 minutes. During the lock period, no further OTPs will be sent to the same mobile number.</w:t>
      </w:r>
    </w:p>
    <w:p>
      <w:pPr>
        <w:pStyle w:val="BodyText"/>
      </w:pPr>
      <w:r>
        <w:t xml:space="preserve">On successful OTP verification, the user will be prompted to set a 6-digit numeric PIN. The PIN must not be a simple sequence (such as 123456 or 111111). The user will be required to confirm the PIN by entering it a second time. Mismatch will require the user to start the PIN-setting step again.</w:t>
      </w:r>
    </w:p>
    <w:bookmarkEnd w:id="30"/>
    <w:bookmarkStart w:id="31" w:name="kyc-verification"/>
    <w:p>
      <w:pPr>
        <w:pStyle w:val="Heading3"/>
      </w:pPr>
      <w:r>
        <w:t xml:space="preserve">2.1.3 KYC Verification</w:t>
      </w:r>
    </w:p>
    <w:p>
      <w:pPr>
        <w:pStyle w:val="FirstParagraph"/>
      </w:pPr>
      <w:r>
        <w:t xml:space="preserve">Once registered, the user will be required to complete Know Your Customer (KYC) verification before they can transact above introductory limits. KYC will accept the following government-issued identity documents: passport, driving licence, or national ID card.</w:t>
      </w:r>
    </w:p>
    <w:p>
      <w:pPr>
        <w:pStyle w:val="BodyText"/>
      </w:pPr>
      <w:r>
        <w:t xml:space="preserve">Document uploads will support JPG, PNG, and PDF formats only. Maximum file size per document will be 5 MB. Users will be allowed to upload two images per document (front and back) and one selfie for liveness verification.</w:t>
      </w:r>
    </w:p>
    <w:p>
      <w:pPr>
        <w:pStyle w:val="BodyText"/>
      </w:pPr>
      <w:r>
        <w:t xml:space="preserve">Automated KYC results will be returned to the user within 60 seconds. Documents that fail automated verification will be routed for manual review, with a turnaround time of up to 24 working hours. Users will be notified of the verification outcome via in-app message and push notification.</w:t>
      </w:r>
    </w:p>
    <w:bookmarkEnd w:id="31"/>
    <w:bookmarkStart w:id="32" w:name="transaction-limits-during-onboarding"/>
    <w:p>
      <w:pPr>
        <w:pStyle w:val="Heading3"/>
      </w:pPr>
      <w:r>
        <w:t xml:space="preserve">2.1.4 Transaction Limits During Onboarding</w:t>
      </w:r>
    </w:p>
    <w:p>
      <w:pPr>
        <w:pStyle w:val="FirstParagraph"/>
      </w:pPr>
      <w:r>
        <w:t xml:space="preserve">Users with pending KYC will be permitted a maximum wallet balance of USD 200 and a maximum per-transaction value of USD 50. These limits will be lifted upon successful KYC completion.</w:t>
      </w:r>
    </w:p>
    <w:p>
      <w:pPr>
        <w:pStyle w:val="BodyText"/>
      </w:pPr>
      <w:r>
        <w:t xml:space="preserve">Users whose KYC is rejected three consecutive times will be required to contact customer support and may not retry through the app.</w:t>
      </w:r>
    </w:p>
    <w:bookmarkEnd w:id="32"/>
    <w:bookmarkStart w:id="33" w:name="welcome-experience"/>
    <w:p>
      <w:pPr>
        <w:pStyle w:val="Heading3"/>
      </w:pPr>
      <w:r>
        <w:t xml:space="preserve">2.1.5 Welcome Experience</w:t>
      </w:r>
    </w:p>
    <w:p>
      <w:pPr>
        <w:pStyle w:val="FirstParagraph"/>
      </w:pPr>
      <w:r>
        <w:t xml:space="preserve">On first login after registration, the user will see a four-screen welcome tour highlighting key features. The tour will be skippable. The user will be offered the option to enable biometric login at this stage if their device supports it.</w:t>
      </w:r>
    </w:p>
    <w:bookmarkEnd w:id="33"/>
    <w:bookmarkStart w:id="34" w:name="re-registration-rules"/>
    <w:p>
      <w:pPr>
        <w:pStyle w:val="Heading3"/>
      </w:pPr>
      <w:r>
        <w:t xml:space="preserve">2.1.6 Re-registration Rules</w:t>
      </w:r>
    </w:p>
    <w:p>
      <w:pPr>
        <w:pStyle w:val="FirstParagraph"/>
      </w:pPr>
      <w:r>
        <w:t xml:space="preserve">A mobile number that is already registered to an active SwiftPay account cannot be re-registered. Users who have deactivated their account can re-register after a 30-day cooling-off period using the same mobile number. Users who have been blocked for compliance reasons cannot re-register.</w:t>
      </w:r>
    </w:p>
    <w:p>
      <w:r>
        <w:pict>
          <v:rect style="width:0;height:1.5pt" o:hralign="center" o:hrstd="t" o:hr="t"/>
        </w:pict>
      </w:r>
    </w:p>
    <w:bookmarkEnd w:id="34"/>
    <w:bookmarkEnd w:id="35"/>
    <w:bookmarkStart w:id="43" w:name="authentication-session-security"/>
    <w:p>
      <w:pPr>
        <w:pStyle w:val="Heading2"/>
      </w:pPr>
      <w:r>
        <w:t xml:space="preserve">2.2 Authentication &amp; Session Security</w:t>
      </w:r>
    </w:p>
    <w:bookmarkStart w:id="36" w:name="purpose-1"/>
    <w:p>
      <w:pPr>
        <w:pStyle w:val="Heading3"/>
      </w:pPr>
      <w:r>
        <w:t xml:space="preserve">2.2.1 Purpose</w:t>
      </w:r>
    </w:p>
    <w:p>
      <w:pPr>
        <w:pStyle w:val="FirstParagraph"/>
      </w:pPr>
      <w:r>
        <w:t xml:space="preserve">This section defines how users authenticate into SwiftPay, how sessions are managed, and what security controls protect their account from unauthorised access.</w:t>
      </w:r>
    </w:p>
    <w:bookmarkEnd w:id="36"/>
    <w:bookmarkStart w:id="37" w:name="pin-based-login"/>
    <w:p>
      <w:pPr>
        <w:pStyle w:val="Heading3"/>
      </w:pPr>
      <w:r>
        <w:t xml:space="preserve">2.2.2 PIN-Based Login</w:t>
      </w:r>
    </w:p>
    <w:p>
      <w:pPr>
        <w:pStyle w:val="FirstParagraph"/>
      </w:pPr>
      <w:r>
        <w:t xml:space="preserve">All users will be able to log in using their 6-digit PIN. The PIN entry screen will mask the digits as the user types. After 5 consecutive incorrect PIN entries, the user will be locked out of the application for 15 minutes. After 10 consecutive incorrect entries across multiple sessions, the account will be suspended and the user will be required to reset their PIN through a recovery flow involving OTP verification.</w:t>
      </w:r>
    </w:p>
    <w:bookmarkEnd w:id="37"/>
    <w:bookmarkStart w:id="38" w:name="biometric-login"/>
    <w:p>
      <w:pPr>
        <w:pStyle w:val="Heading3"/>
      </w:pPr>
      <w:r>
        <w:t xml:space="preserve">2.2.3 Biometric Login</w:t>
      </w:r>
    </w:p>
    <w:p>
      <w:pPr>
        <w:pStyle w:val="FirstParagraph"/>
      </w:pPr>
      <w:r>
        <w:t xml:space="preserve">Biometric login will be supported on devices that have Face ID, Touch ID, or fingerprint hardware. Biometric authentication will be optional and opt-in only. Users will be able to enable or disable biometric login at any time from the security settings screen.</w:t>
      </w:r>
    </w:p>
    <w:p>
      <w:pPr>
        <w:pStyle w:val="BodyText"/>
      </w:pPr>
      <w:r>
        <w:t xml:space="preserve">PIN login will always remain available as a fallback option, even when biometrics are enabled. After 5 consecutive failed biometric attempts in a single session, the system will require the user to fall back to PIN entry.</w:t>
      </w:r>
    </w:p>
    <w:p>
      <w:pPr>
        <w:pStyle w:val="BodyText"/>
      </w:pPr>
      <w:r>
        <w:t xml:space="preserve">Biometric authentication will not be permitted for transactions above USD 500. Such transactions will require PIN entry regardless of biometric login status.</w:t>
      </w:r>
    </w:p>
    <w:bookmarkEnd w:id="38"/>
    <w:bookmarkStart w:id="39" w:name="session-management"/>
    <w:p>
      <w:pPr>
        <w:pStyle w:val="Heading3"/>
      </w:pPr>
      <w:r>
        <w:t xml:space="preserve">2.2.4 Session Management</w:t>
      </w:r>
    </w:p>
    <w:p>
      <w:pPr>
        <w:pStyle w:val="FirstParagraph"/>
      </w:pPr>
      <w:r>
        <w:t xml:space="preserve">A session will be considered active from the moment of successful login. Active sessions will automatically expire after 15 minutes of user inactivity. Inactivity is defined as no taps, scrolls, or background API calls initiated by user actions.</w:t>
      </w:r>
    </w:p>
    <w:p>
      <w:pPr>
        <w:pStyle w:val="BodyText"/>
      </w:pPr>
      <w:r>
        <w:t xml:space="preserve">If the user’s device is detected to have a new SIM card inserted, all active sessions will be terminated immediately and the user will be required to re-authenticate.</w:t>
      </w:r>
    </w:p>
    <w:p>
      <w:pPr>
        <w:pStyle w:val="BodyText"/>
      </w:pPr>
      <w:r>
        <w:t xml:space="preserve">When a user changes their PIN, all active sessions across all devices will be terminated automatically as a security measure.</w:t>
      </w:r>
    </w:p>
    <w:bookmarkEnd w:id="39"/>
    <w:bookmarkStart w:id="40" w:name="multi-device-login"/>
    <w:p>
      <w:pPr>
        <w:pStyle w:val="Heading3"/>
      </w:pPr>
      <w:r>
        <w:t xml:space="preserve">2.2.5 Multi-Device Login</w:t>
      </w:r>
    </w:p>
    <w:p>
      <w:pPr>
        <w:pStyle w:val="FirstParagraph"/>
      </w:pPr>
      <w:r>
        <w:t xml:space="preserve">Users will be allowed to be logged in on a maximum of two devices simultaneously. When a third device attempts to log in, the oldest active session will be terminated.</w:t>
      </w:r>
    </w:p>
    <w:p>
      <w:pPr>
        <w:pStyle w:val="BodyText"/>
      </w:pPr>
      <w:r>
        <w:t xml:space="preserve">Users will be able to view all active sessions from the security settings screen and will be able to log out of any session remotely.</w:t>
      </w:r>
    </w:p>
    <w:bookmarkEnd w:id="40"/>
    <w:bookmarkStart w:id="41" w:name="suspicious-activity-detection"/>
    <w:p>
      <w:pPr>
        <w:pStyle w:val="Heading3"/>
      </w:pPr>
      <w:r>
        <w:t xml:space="preserve">2.2.6 Suspicious Activity Detection</w:t>
      </w:r>
    </w:p>
    <w:p>
      <w:pPr>
        <w:pStyle w:val="FirstParagraph"/>
      </w:pPr>
      <w:r>
        <w:t xml:space="preserve">The system will monitor login attempts and flag suspicious activity. The following will trigger a security challenge requiring OTP verification: login from a new device, login from a new country, login after 90 days of inactivity, and login following a recent password reset.</w:t>
      </w:r>
    </w:p>
    <w:p>
      <w:pPr>
        <w:pStyle w:val="BodyText"/>
      </w:pPr>
      <w:r>
        <w:t xml:space="preserve">A failed security challenge will lock the account for 30 minutes and notify the user via SMS and push notification.</w:t>
      </w:r>
    </w:p>
    <w:bookmarkEnd w:id="41"/>
    <w:bookmarkStart w:id="42" w:name="password-and-pin-recovery"/>
    <w:p>
      <w:pPr>
        <w:pStyle w:val="Heading3"/>
      </w:pPr>
      <w:r>
        <w:t xml:space="preserve">2.2.7 Password and PIN Recovery</w:t>
      </w:r>
    </w:p>
    <w:p>
      <w:pPr>
        <w:pStyle w:val="FirstParagraph"/>
      </w:pPr>
      <w:r>
        <w:t xml:space="preserve">PIN recovery will require OTP verification to the registered mobile number, followed by KYC selfie liveness check. The system will not allow the new PIN to be the same as any of the user’s previous 5 PINs.</w:t>
      </w:r>
    </w:p>
    <w:p>
      <w:r>
        <w:pict>
          <v:rect style="width:0;height:1.5pt" o:hralign="center" o:hrstd="t" o:hr="t"/>
        </w:pict>
      </w:r>
    </w:p>
    <w:bookmarkEnd w:id="42"/>
    <w:bookmarkEnd w:id="43"/>
    <w:bookmarkStart w:id="50" w:name="wallet-card-management"/>
    <w:p>
      <w:pPr>
        <w:pStyle w:val="Heading2"/>
      </w:pPr>
      <w:r>
        <w:t xml:space="preserve">2.3 Wallet &amp; Card Management</w:t>
      </w:r>
    </w:p>
    <w:bookmarkStart w:id="44" w:name="purpose-2"/>
    <w:p>
      <w:pPr>
        <w:pStyle w:val="Heading3"/>
      </w:pPr>
      <w:r>
        <w:t xml:space="preserve">2.3.1 Purpose</w:t>
      </w:r>
    </w:p>
    <w:p>
      <w:pPr>
        <w:pStyle w:val="FirstParagraph"/>
      </w:pPr>
      <w:r>
        <w:t xml:space="preserve">This section defines how users link payment cards to their wallet, add funds to their wallet balance, and manage their funding sources.</w:t>
      </w:r>
    </w:p>
    <w:bookmarkEnd w:id="44"/>
    <w:bookmarkStart w:id="45" w:name="linking-payment-cards"/>
    <w:p>
      <w:pPr>
        <w:pStyle w:val="Heading3"/>
      </w:pPr>
      <w:r>
        <w:t xml:space="preserve">2.3.2 Linking Payment Cards</w:t>
      </w:r>
    </w:p>
    <w:p>
      <w:pPr>
        <w:pStyle w:val="FirstParagraph"/>
      </w:pPr>
      <w:r>
        <w:t xml:space="preserve">Users will be able to link Visa, Mastercard, and American Express debit and credit cards to their wallet. Card numbers will be validated using the Luhn algorithm at the point of entry. Cards that fail validation will be rejected before any backend call is made.</w:t>
      </w:r>
    </w:p>
    <w:p>
      <w:pPr>
        <w:pStyle w:val="BodyText"/>
      </w:pPr>
      <w:r>
        <w:t xml:space="preserve">The CVV will be requested during the linking transaction and will be used only for the initial verification charge. The CVV will never be stored. The verification charge will be a USD 0.00 authorisation (zero-amount auth) where supported by the card network, or a USD 1.00 reversible authorisation as fallback.</w:t>
      </w:r>
    </w:p>
    <w:p>
      <w:pPr>
        <w:pStyle w:val="BodyText"/>
      </w:pPr>
      <w:r>
        <w:t xml:space="preserve">A user will be allowed to link a maximum of 5 cards per wallet. Once the limit is reached, the user will be required to remove an existing card before adding a new one.</w:t>
      </w:r>
    </w:p>
    <w:p>
      <w:pPr>
        <w:pStyle w:val="BodyText"/>
      </w:pPr>
      <w:r>
        <w:t xml:space="preserve">Linked cards will be displayed with the card brand, last 4 digits, expiry month and year, and a user-assigned nickname. The user will be able to set one card as the default funding source.</w:t>
      </w:r>
    </w:p>
    <w:bookmarkEnd w:id="45"/>
    <w:bookmarkStart w:id="46" w:name="adding-funds-to-wallet"/>
    <w:p>
      <w:pPr>
        <w:pStyle w:val="Heading3"/>
      </w:pPr>
      <w:r>
        <w:t xml:space="preserve">2.3.3 Adding Funds to Wallet</w:t>
      </w:r>
    </w:p>
    <w:p>
      <w:pPr>
        <w:pStyle w:val="FirstParagraph"/>
      </w:pPr>
      <w:r>
        <w:t xml:space="preserve">Users will be able to add funds to their wallet balance from any linked card. The minimum top-up amount will be USD 1 and the maximum will be USD 2,000 per single transaction.</w:t>
      </w:r>
    </w:p>
    <w:p>
      <w:pPr>
        <w:pStyle w:val="BodyText"/>
      </w:pPr>
      <w:r>
        <w:t xml:space="preserve">Daily cumulative top-up limits will be USD 5,000 for users with completed KYC and USD 200 for users with pending KYC. Monthly cumulative limits will be USD 20,000 for KYC-completed users.</w:t>
      </w:r>
    </w:p>
    <w:p>
      <w:pPr>
        <w:pStyle w:val="BodyText"/>
      </w:pPr>
      <w:r>
        <w:t xml:space="preserve">A processing fee of 1.5% will be applied to credit card top-ups. Debit card top-ups will be processed free of charge. The fee will be clearly displayed to the user before they confirm the transaction.</w:t>
      </w:r>
    </w:p>
    <w:p>
      <w:pPr>
        <w:pStyle w:val="BodyText"/>
      </w:pPr>
      <w:r>
        <w:t xml:space="preserve">Funds will reflect in the user’s wallet balance within 10 seconds of successful card authorisation. In the event of a delay beyond 30 seconds, the user will receive a notification informing them that the transaction is being processed and they will be notified of the outcome.</w:t>
      </w:r>
    </w:p>
    <w:bookmarkEnd w:id="46"/>
    <w:bookmarkStart w:id="47" w:name="withdrawal-to-bank-account"/>
    <w:p>
      <w:pPr>
        <w:pStyle w:val="Heading3"/>
      </w:pPr>
      <w:r>
        <w:t xml:space="preserve">2.3.4 Withdrawal to Bank Account</w:t>
      </w:r>
    </w:p>
    <w:p>
      <w:pPr>
        <w:pStyle w:val="FirstParagraph"/>
      </w:pPr>
      <w:r>
        <w:t xml:space="preserve">Users will be able to withdraw funds from their wallet to a linked bank account. The minimum withdrawal amount will be USD 10 and the maximum will be USD 10,000 per transaction.</w:t>
      </w:r>
    </w:p>
    <w:p>
      <w:pPr>
        <w:pStyle w:val="BodyText"/>
      </w:pPr>
      <w:r>
        <w:t xml:space="preserve">Withdrawals will be processed within 1 business day. A flat fee of USD 0.50 will apply to each withdrawal under USD 500. Withdrawals of USD 500 or above will be free of charge.</w:t>
      </w:r>
    </w:p>
    <w:bookmarkEnd w:id="47"/>
    <w:bookmarkStart w:id="48" w:name="wallet-balance-display"/>
    <w:p>
      <w:pPr>
        <w:pStyle w:val="Heading3"/>
      </w:pPr>
      <w:r>
        <w:t xml:space="preserve">2.3.5 Wallet Balance Display</w:t>
      </w:r>
    </w:p>
    <w:p>
      <w:pPr>
        <w:pStyle w:val="FirstParagraph"/>
      </w:pPr>
      <w:r>
        <w:t xml:space="preserve">The wallet balance will be displayed on the home screen in the user’s preferred currency. Users will be able to hide the balance by tapping a visibility toggle, in which case the digits will be masked.</w:t>
      </w:r>
    </w:p>
    <w:p>
      <w:pPr>
        <w:pStyle w:val="BodyText"/>
      </w:pPr>
      <w:r>
        <w:t xml:space="preserve">When the wallet balance falls below USD 5, the user will see a non-blocking prompt suggesting they top up before their next transaction.</w:t>
      </w:r>
    </w:p>
    <w:bookmarkEnd w:id="48"/>
    <w:bookmarkStart w:id="49" w:name="card-removal"/>
    <w:p>
      <w:pPr>
        <w:pStyle w:val="Heading3"/>
      </w:pPr>
      <w:r>
        <w:t xml:space="preserve">2.3.6 Card Removal</w:t>
      </w:r>
    </w:p>
    <w:p>
      <w:pPr>
        <w:pStyle w:val="FirstParagraph"/>
      </w:pPr>
      <w:r>
        <w:t xml:space="preserve">Users will be able to remove a linked card at any time. If the card being removed is the default funding source, the user will be prompted to select a new default before removal can proceed. If only one card is linked, the user will be allowed to remove it, but they will be informed that they will not be able to add funds until a new card is linked.</w:t>
      </w:r>
    </w:p>
    <w:p>
      <w:r>
        <w:pict>
          <v:rect style="width:0;height:1.5pt" o:hralign="center" o:hrstd="t" o:hr="t"/>
        </w:pict>
      </w:r>
    </w:p>
    <w:bookmarkEnd w:id="49"/>
    <w:bookmarkEnd w:id="50"/>
    <w:bookmarkStart w:id="59" w:name="peer-to-peer-transfers"/>
    <w:p>
      <w:pPr>
        <w:pStyle w:val="Heading2"/>
      </w:pPr>
      <w:r>
        <w:t xml:space="preserve">2.4 Peer-to-Peer Transfers</w:t>
      </w:r>
    </w:p>
    <w:bookmarkStart w:id="51" w:name="purpose-3"/>
    <w:p>
      <w:pPr>
        <w:pStyle w:val="Heading3"/>
      </w:pPr>
      <w:r>
        <w:t xml:space="preserve">2.4.1 Purpose</w:t>
      </w:r>
    </w:p>
    <w:p>
      <w:pPr>
        <w:pStyle w:val="FirstParagraph"/>
      </w:pPr>
      <w:r>
        <w:t xml:space="preserve">This section defines how SwiftPay users send and receive money to and from other SwiftPay users.</w:t>
      </w:r>
    </w:p>
    <w:bookmarkEnd w:id="51"/>
    <w:bookmarkStart w:id="52" w:name="initiating-a-transfer"/>
    <w:p>
      <w:pPr>
        <w:pStyle w:val="Heading3"/>
      </w:pPr>
      <w:r>
        <w:t xml:space="preserve">2.4.2 Initiating a Transfer</w:t>
      </w:r>
    </w:p>
    <w:p>
      <w:pPr>
        <w:pStyle w:val="FirstParagraph"/>
      </w:pPr>
      <w:r>
        <w:t xml:space="preserve">A user will be able to send funds to another SwiftPay user by selecting</w:t>
      </w:r>
      <w:r>
        <w:t xml:space="preserve"> </w:t>
      </w:r>
      <w:r>
        <w:t xml:space="preserve">“</w:t>
      </w:r>
      <w:r>
        <w:t xml:space="preserve">Send Money</w:t>
      </w:r>
      <w:r>
        <w:t xml:space="preserve">”</w:t>
      </w:r>
      <w:r>
        <w:t xml:space="preserve"> </w:t>
      </w:r>
      <w:r>
        <w:t xml:space="preserve">from the home screen. The sender will be able to identify the recipient using one of three methods: mobile number in E.164 format, registered email address, or SwiftPay handle (a unique user-chosen identifier prefixed with @).</w:t>
      </w:r>
    </w:p>
    <w:p>
      <w:pPr>
        <w:pStyle w:val="BodyText"/>
      </w:pPr>
      <w:r>
        <w:t xml:space="preserve">The system will look up the recipient using the provided identifier. If a matching SwiftPay user is found, the recipient’s display name and profile picture will be shown to the sender for confirmation. If no match is found, the sender will be offered the option to send an SMS invite to the recipient.</w:t>
      </w:r>
    </w:p>
    <w:bookmarkEnd w:id="52"/>
    <w:bookmarkStart w:id="53" w:name="transfer-limits"/>
    <w:p>
      <w:pPr>
        <w:pStyle w:val="Heading3"/>
      </w:pPr>
      <w:r>
        <w:t xml:space="preserve">2.4.3 Transfer Limits</w:t>
      </w:r>
    </w:p>
    <w:p>
      <w:pPr>
        <w:pStyle w:val="FirstParagraph"/>
      </w:pPr>
      <w:r>
        <w:t xml:space="preserve">The minimum peer-to-peer transfer amount will be USD 1. The maximum single transfer will be USD 1,000 for KYC-verified users and USD 50 for users with pending KYC.</w:t>
      </w:r>
    </w:p>
    <w:p>
      <w:pPr>
        <w:pStyle w:val="BodyText"/>
      </w:pPr>
      <w:r>
        <w:t xml:space="preserve">Daily cumulative outbound transfer limits will be USD 3,000 for KYC-verified users and USD 100 for non-verified users. Inbound transfers will not be limited, except where receiving the funds would cause the wallet balance to exceed the user’s overall wallet ceiling.</w:t>
      </w:r>
    </w:p>
    <w:bookmarkEnd w:id="53"/>
    <w:bookmarkStart w:id="54" w:name="transfer-confirmation-flow"/>
    <w:p>
      <w:pPr>
        <w:pStyle w:val="Heading3"/>
      </w:pPr>
      <w:r>
        <w:t xml:space="preserve">2.4.4 Transfer Confirmation Flow</w:t>
      </w:r>
    </w:p>
    <w:p>
      <w:pPr>
        <w:pStyle w:val="FirstParagraph"/>
      </w:pPr>
      <w:r>
        <w:t xml:space="preserve">Before authorising a transfer, the sender will see a confirmation screen displaying: the recipient’s full name as registered, the recipient’s masked mobile number (last 4 digits visible), the amount being sent, any applicable fee, the total amount being debited, and the funding source.</w:t>
      </w:r>
    </w:p>
    <w:p>
      <w:pPr>
        <w:pStyle w:val="BodyText"/>
      </w:pPr>
      <w:r>
        <w:t xml:space="preserve">Transfers between SwiftPay users will be free of charge for the sender. The recipient will receive the full amount sent.</w:t>
      </w:r>
    </w:p>
    <w:p>
      <w:pPr>
        <w:pStyle w:val="BodyText"/>
      </w:pPr>
      <w:r>
        <w:t xml:space="preserve">Authorisation will require either a successful biometric check (for transfers under USD 500) or PIN entry (for transfers of USD 500 or above).</w:t>
      </w:r>
    </w:p>
    <w:bookmarkEnd w:id="54"/>
    <w:bookmarkStart w:id="55" w:name="reversibility-window"/>
    <w:p>
      <w:pPr>
        <w:pStyle w:val="Heading3"/>
      </w:pPr>
      <w:r>
        <w:t xml:space="preserve">2.4.5 Reversibility Window</w:t>
      </w:r>
    </w:p>
    <w:p>
      <w:pPr>
        <w:pStyle w:val="FirstParagraph"/>
      </w:pPr>
      <w:r>
        <w:t xml:space="preserve">Transfers will be reversible by the sender within 30 seconds of initiation, provided the recipient has not yet accepted the transfer. After 30 seconds, or once the recipient has accepted, the transfer will be irreversible from within the app. Disputes will need to be raised through customer support.</w:t>
      </w:r>
    </w:p>
    <w:p>
      <w:pPr>
        <w:pStyle w:val="BodyText"/>
      </w:pPr>
      <w:r>
        <w:t xml:space="preserve">During the 30-second window, the transfer will appear as</w:t>
      </w:r>
      <w:r>
        <w:t xml:space="preserve"> </w:t>
      </w:r>
      <w:r>
        <w:t xml:space="preserve">“</w:t>
      </w:r>
      <w:r>
        <w:t xml:space="preserve">Pending</w:t>
      </w:r>
      <w:r>
        <w:t xml:space="preserve">”</w:t>
      </w:r>
      <w:r>
        <w:t xml:space="preserve"> </w:t>
      </w:r>
      <w:r>
        <w:t xml:space="preserve">in the sender’s transaction history. After the window closes successfully, it will move to</w:t>
      </w:r>
      <w:r>
        <w:t xml:space="preserve"> </w:t>
      </w:r>
      <w:r>
        <w:t xml:space="preserve">“</w:t>
      </w:r>
      <w:r>
        <w:t xml:space="preserve">Completed</w:t>
      </w:r>
      <w:r>
        <w:t xml:space="preserve">”</w:t>
      </w:r>
      <w:r>
        <w:t xml:space="preserve">.</w:t>
      </w:r>
    </w:p>
    <w:bookmarkEnd w:id="55"/>
    <w:bookmarkStart w:id="56" w:name="recipient-acceptance"/>
    <w:p>
      <w:pPr>
        <w:pStyle w:val="Heading3"/>
      </w:pPr>
      <w:r>
        <w:t xml:space="preserve">2.4.6 Recipient Acceptance</w:t>
      </w:r>
    </w:p>
    <w:p>
      <w:pPr>
        <w:pStyle w:val="FirstParagraph"/>
      </w:pPr>
      <w:r>
        <w:t xml:space="preserve">For first-time transfers between two SwiftPay users, the recipient will be required to explicitly accept the transfer within 24 hours. If not accepted within 24 hours, the transfer will be cancelled automatically and funds will be returned to the sender’s wallet.</w:t>
      </w:r>
    </w:p>
    <w:p>
      <w:pPr>
        <w:pStyle w:val="BodyText"/>
      </w:pPr>
      <w:r>
        <w:t xml:space="preserve">For subsequent transfers between the same pair of users, the funds will be credited automatically to the recipient’s wallet without requiring acceptance.</w:t>
      </w:r>
    </w:p>
    <w:bookmarkEnd w:id="56"/>
    <w:bookmarkStart w:id="57" w:name="p2p-notifications"/>
    <w:p>
      <w:pPr>
        <w:pStyle w:val="Heading3"/>
      </w:pPr>
      <w:r>
        <w:t xml:space="preserve">2.4.7 P2P Notifications</w:t>
      </w:r>
    </w:p>
    <w:p>
      <w:pPr>
        <w:pStyle w:val="FirstParagraph"/>
      </w:pPr>
      <w:r>
        <w:t xml:space="preserve">The sender will receive a push notification confirming the transfer was sent. The recipient will receive a push notification informing them of the incoming transfer, with deep links to the relevant transaction screen.</w:t>
      </w:r>
    </w:p>
    <w:p>
      <w:pPr>
        <w:pStyle w:val="BodyText"/>
      </w:pPr>
      <w:r>
        <w:t xml:space="preserve">If the transfer is reversed during the 30-second window, both parties will be notified of the reversal.</w:t>
      </w:r>
    </w:p>
    <w:bookmarkEnd w:id="57"/>
    <w:bookmarkStart w:id="58" w:name="failed-transfers"/>
    <w:p>
      <w:pPr>
        <w:pStyle w:val="Heading3"/>
      </w:pPr>
      <w:r>
        <w:t xml:space="preserve">2.4.8 Failed Transfers</w:t>
      </w:r>
    </w:p>
    <w:p>
      <w:pPr>
        <w:pStyle w:val="FirstParagraph"/>
      </w:pPr>
      <w:r>
        <w:t xml:space="preserve">If a transfer fails due to insufficient funds, the sender will be notified before the funding source is debited and will be offered the option to top up the wallet. If a transfer fails due to a system error after the sender’s wallet has been debited, the funds will be automatically returned within 1 hour and the sender will be notified.</w:t>
      </w:r>
    </w:p>
    <w:p>
      <w:r>
        <w:pict>
          <v:rect style="width:0;height:1.5pt" o:hralign="center" o:hrstd="t" o:hr="t"/>
        </w:pict>
      </w:r>
    </w:p>
    <w:bookmarkEnd w:id="58"/>
    <w:bookmarkEnd w:id="59"/>
    <w:bookmarkStart w:id="68" w:name="merchant-payments"/>
    <w:p>
      <w:pPr>
        <w:pStyle w:val="Heading2"/>
      </w:pPr>
      <w:r>
        <w:t xml:space="preserve">2.5 Merchant Payments</w:t>
      </w:r>
    </w:p>
    <w:bookmarkStart w:id="60" w:name="purpose-4"/>
    <w:p>
      <w:pPr>
        <w:pStyle w:val="Heading3"/>
      </w:pPr>
      <w:r>
        <w:t xml:space="preserve">2.5.1 Purpose</w:t>
      </w:r>
    </w:p>
    <w:p>
      <w:pPr>
        <w:pStyle w:val="FirstParagraph"/>
      </w:pPr>
      <w:r>
        <w:t xml:space="preserve">This section defines how SwiftPay users pay merchants using QR codes, both in-store and online.</w:t>
      </w:r>
    </w:p>
    <w:bookmarkEnd w:id="60"/>
    <w:bookmarkStart w:id="61" w:name="qr-code-standards"/>
    <w:p>
      <w:pPr>
        <w:pStyle w:val="Heading3"/>
      </w:pPr>
      <w:r>
        <w:t xml:space="preserve">2.5.2 QR Code Standards</w:t>
      </w:r>
    </w:p>
    <w:p>
      <w:pPr>
        <w:pStyle w:val="FirstParagraph"/>
      </w:pPr>
      <w:r>
        <w:t xml:space="preserve">SwiftPay will support two QR code standards: the EMVCo standard QR specification (used by most international merchants) and the SwiftPay proprietary QR format (used by SwiftPay-onboarded merchants for richer in-app experiences).</w:t>
      </w:r>
    </w:p>
    <w:p>
      <w:pPr>
        <w:pStyle w:val="BodyText"/>
      </w:pPr>
      <w:r>
        <w:t xml:space="preserve">Both standards will be detected automatically by the in-app camera scanner. The user will not be required to specify which type of QR they are scanning.</w:t>
      </w:r>
    </w:p>
    <w:bookmarkEnd w:id="61"/>
    <w:bookmarkStart w:id="62" w:name="static-vs-dynamic-qr-codes"/>
    <w:p>
      <w:pPr>
        <w:pStyle w:val="Heading3"/>
      </w:pPr>
      <w:r>
        <w:t xml:space="preserve">2.5.3 Static vs Dynamic QR Codes</w:t>
      </w:r>
    </w:p>
    <w:p>
      <w:pPr>
        <w:pStyle w:val="FirstParagraph"/>
      </w:pPr>
      <w:r>
        <w:t xml:space="preserve">Static QR codes will encode only the merchant identifier. When a static QR is scanned, the user will be required to enter the payment amount manually before authorising.</w:t>
      </w:r>
    </w:p>
    <w:p>
      <w:pPr>
        <w:pStyle w:val="BodyText"/>
      </w:pPr>
      <w:r>
        <w:t xml:space="preserve">Dynamic QR codes will encode the merchant identifier, the transaction amount, and a unique transaction reference. When a dynamic QR is scanned, the amount will be pre-filled and locked; the user will not be able to alter it.</w:t>
      </w:r>
    </w:p>
    <w:bookmarkEnd w:id="62"/>
    <w:bookmarkStart w:id="63" w:name="scan-to-pay-flow"/>
    <w:p>
      <w:pPr>
        <w:pStyle w:val="Heading3"/>
      </w:pPr>
      <w:r>
        <w:t xml:space="preserve">2.5.4 Scan-to-Pay Flow</w:t>
      </w:r>
    </w:p>
    <w:p>
      <w:pPr>
        <w:pStyle w:val="FirstParagraph"/>
      </w:pPr>
      <w:r>
        <w:t xml:space="preserve">The user will initiate a payment by tapping the</w:t>
      </w:r>
      <w:r>
        <w:t xml:space="preserve"> </w:t>
      </w:r>
      <w:r>
        <w:t xml:space="preserve">“</w:t>
      </w:r>
      <w:r>
        <w:t xml:space="preserve">Scan &amp; Pay</w:t>
      </w:r>
      <w:r>
        <w:t xml:space="preserve">”</w:t>
      </w:r>
      <w:r>
        <w:t xml:space="preserve"> </w:t>
      </w:r>
      <w:r>
        <w:t xml:space="preserve">button on the home screen. The in-app camera will open and the user will be prompted to point the camera at the merchant’s QR code.</w:t>
      </w:r>
    </w:p>
    <w:p>
      <w:pPr>
        <w:pStyle w:val="BodyText"/>
      </w:pPr>
      <w:r>
        <w:t xml:space="preserve">Once a valid QR is detected, the system will display a confirmation screen showing: the merchant’s registered business name, the merchant category code (MCC) translated to a human-readable category, the payment amount (editable for static, locked for dynamic), and the funding source.</w:t>
      </w:r>
    </w:p>
    <w:p>
      <w:pPr>
        <w:pStyle w:val="BodyText"/>
      </w:pPr>
      <w:r>
        <w:t xml:space="preserve">The user will confirm the payment by either biometric or PIN authentication, following the same rules as peer-to-peer transfers.</w:t>
      </w:r>
    </w:p>
    <w:bookmarkEnd w:id="63"/>
    <w:bookmarkStart w:id="64" w:name="payment-limits"/>
    <w:p>
      <w:pPr>
        <w:pStyle w:val="Heading3"/>
      </w:pPr>
      <w:r>
        <w:t xml:space="preserve">2.5.5 Payment Limits</w:t>
      </w:r>
    </w:p>
    <w:p>
      <w:pPr>
        <w:pStyle w:val="FirstParagraph"/>
      </w:pPr>
      <w:r>
        <w:t xml:space="preserve">The minimum merchant payment amount will be USD 0.50. The maximum single merchant payment will be USD 5,000 for KYC-verified users and USD 50 for non-verified users.</w:t>
      </w:r>
    </w:p>
    <w:p>
      <w:pPr>
        <w:pStyle w:val="BodyText"/>
      </w:pPr>
      <w:r>
        <w:t xml:space="preserve">Daily cumulative merchant payment limits will be USD 10,000 for KYC-verified users.</w:t>
      </w:r>
    </w:p>
    <w:bookmarkEnd w:id="64"/>
    <w:bookmarkStart w:id="65" w:name="receipts"/>
    <w:p>
      <w:pPr>
        <w:pStyle w:val="Heading3"/>
      </w:pPr>
      <w:r>
        <w:t xml:space="preserve">2.5.6 Receipts</w:t>
      </w:r>
    </w:p>
    <w:p>
      <w:pPr>
        <w:pStyle w:val="FirstParagraph"/>
      </w:pPr>
      <w:r>
        <w:t xml:space="preserve">A digital receipt will be generated within 5 seconds of successful payment. The receipt will include: a unique transaction reference number, the merchant name and category, the payment date and time in the user’s local timezone, the amount paid, the funding source used, and a tax breakdown where applicable.</w:t>
      </w:r>
    </w:p>
    <w:p>
      <w:pPr>
        <w:pStyle w:val="BodyText"/>
      </w:pPr>
      <w:r>
        <w:t xml:space="preserve">The receipt will be available in the transaction history and will be downloadable as a PDF. The user will also be offered the option to email the receipt to themselves at the time of payment.</w:t>
      </w:r>
    </w:p>
    <w:bookmarkEnd w:id="65"/>
    <w:bookmarkStart w:id="66" w:name="failed-payments"/>
    <w:p>
      <w:pPr>
        <w:pStyle w:val="Heading3"/>
      </w:pPr>
      <w:r>
        <w:t xml:space="preserve">2.5.7 Failed Payments</w:t>
      </w:r>
    </w:p>
    <w:p>
      <w:pPr>
        <w:pStyle w:val="FirstParagraph"/>
      </w:pPr>
      <w:r>
        <w:t xml:space="preserve">If a payment fails, the user will be informed immediately and the funding source will not be debited. The reason for failure will be displayed in a user-friendly format. The user will be offered the option to retry with a different funding source or to cancel.</w:t>
      </w:r>
    </w:p>
    <w:p>
      <w:pPr>
        <w:pStyle w:val="BodyText"/>
      </w:pPr>
      <w:r>
        <w:t xml:space="preserve">If a payment is debited from the user’s funding source but does not reach the merchant within 30 seconds, the system will automatically initiate a reversal and the user will be notified.</w:t>
      </w:r>
    </w:p>
    <w:bookmarkEnd w:id="66"/>
    <w:bookmarkStart w:id="67" w:name="refunds"/>
    <w:p>
      <w:pPr>
        <w:pStyle w:val="Heading3"/>
      </w:pPr>
      <w:r>
        <w:t xml:space="preserve">2.5.8 Refunds</w:t>
      </w:r>
    </w:p>
    <w:p>
      <w:pPr>
        <w:pStyle w:val="FirstParagraph"/>
      </w:pPr>
      <w:r>
        <w:t xml:space="preserve">Refunds initiated by the merchant will be credited to the original funding source if the original payment was from a card, or to the wallet if the original payment was from the wallet balance. Refunds will be reflected in the user’s transaction history within 1 hour of being initiated by the merchant.</w:t>
      </w:r>
    </w:p>
    <w:p>
      <w:pPr>
        <w:pStyle w:val="BodyText"/>
      </w:pPr>
      <w:r>
        <w:t xml:space="preserve">Partial refunds will be supported. Users will be able to view the full refund history against each original transaction.</w:t>
      </w:r>
    </w:p>
    <w:p>
      <w:r>
        <w:pict>
          <v:rect style="width:0;height:1.5pt" o:hralign="center" o:hrstd="t" o:hr="t"/>
        </w:pict>
      </w:r>
    </w:p>
    <w:bookmarkEnd w:id="67"/>
    <w:bookmarkEnd w:id="68"/>
    <w:bookmarkStart w:id="77" w:name="transaction-history-notifications"/>
    <w:p>
      <w:pPr>
        <w:pStyle w:val="Heading2"/>
      </w:pPr>
      <w:r>
        <w:t xml:space="preserve">2.6 Transaction History &amp; Notifications</w:t>
      </w:r>
    </w:p>
    <w:bookmarkStart w:id="69" w:name="purpose-5"/>
    <w:p>
      <w:pPr>
        <w:pStyle w:val="Heading3"/>
      </w:pPr>
      <w:r>
        <w:t xml:space="preserve">2.6.1 Purpose</w:t>
      </w:r>
    </w:p>
    <w:p>
      <w:pPr>
        <w:pStyle w:val="FirstParagraph"/>
      </w:pPr>
      <w:r>
        <w:t xml:space="preserve">This section defines how users view their transaction history and receive notifications about wallet activity.</w:t>
      </w:r>
    </w:p>
    <w:bookmarkEnd w:id="69"/>
    <w:bookmarkStart w:id="70" w:name="transaction-history-view"/>
    <w:p>
      <w:pPr>
        <w:pStyle w:val="Heading3"/>
      </w:pPr>
      <w:r>
        <w:t xml:space="preserve">2.6.2 Transaction History View</w:t>
      </w:r>
    </w:p>
    <w:p>
      <w:pPr>
        <w:pStyle w:val="FirstParagraph"/>
      </w:pPr>
      <w:r>
        <w:t xml:space="preserve">The transaction history screen will display the user’s most recent transactions in reverse chronological order. By default, the screen will show the last 90 days of activity. Users will be able to extend the view up to 7 years using a date-range picker.</w:t>
      </w:r>
    </w:p>
    <w:p>
      <w:pPr>
        <w:pStyle w:val="BodyText"/>
      </w:pPr>
      <w:r>
        <w:t xml:space="preserve">Each transaction record in the list view will display: the date and time, the counterparty (either merchant name, P2P recipient/sender, or</w:t>
      </w:r>
      <w:r>
        <w:t xml:space="preserve"> </w:t>
      </w:r>
      <w:r>
        <w:t xml:space="preserve">“</w:t>
      </w:r>
      <w:r>
        <w:t xml:space="preserve">Wallet Top-up</w:t>
      </w:r>
      <w:r>
        <w:t xml:space="preserve">”</w:t>
      </w:r>
      <w:r>
        <w:t xml:space="preserve">), the amount with a + or − prefix indicating credit or debit, and a status indicator (Pending, Completed, Failed, or Reversed).</w:t>
      </w:r>
    </w:p>
    <w:p>
      <w:pPr>
        <w:pStyle w:val="BodyText"/>
      </w:pPr>
      <w:r>
        <w:t xml:space="preserve">Tapping any transaction will open the transaction detail view, which will show all available information about that transaction including the unique reference number, the funding source used, any fees applied, the merchant category (where applicable), and the location (where available).</w:t>
      </w:r>
    </w:p>
    <w:bookmarkEnd w:id="70"/>
    <w:bookmarkStart w:id="71" w:name="filtering-and-search"/>
    <w:p>
      <w:pPr>
        <w:pStyle w:val="Heading3"/>
      </w:pPr>
      <w:r>
        <w:t xml:space="preserve">2.6.3 Filtering and Search</w:t>
      </w:r>
    </w:p>
    <w:p>
      <w:pPr>
        <w:pStyle w:val="FirstParagraph"/>
      </w:pPr>
      <w:r>
        <w:t xml:space="preserve">Users will be able to filter their transaction history by date range, transaction type (Top-up, P2P Send, P2P Receive, Merchant Payment, Withdrawal, Refund), counterparty name, and amount range.</w:t>
      </w:r>
    </w:p>
    <w:p>
      <w:pPr>
        <w:pStyle w:val="BodyText"/>
      </w:pPr>
      <w:r>
        <w:t xml:space="preserve">Users will be able to search their transaction history using a free-text search box. The search will match against counterparty name, transaction reference, and any user-added notes.</w:t>
      </w:r>
    </w:p>
    <w:bookmarkEnd w:id="71"/>
    <w:bookmarkStart w:id="72" w:name="export"/>
    <w:p>
      <w:pPr>
        <w:pStyle w:val="Heading3"/>
      </w:pPr>
      <w:r>
        <w:t xml:space="preserve">2.6.4 Export</w:t>
      </w:r>
    </w:p>
    <w:p>
      <w:pPr>
        <w:pStyle w:val="FirstParagraph"/>
      </w:pPr>
      <w:r>
        <w:t xml:space="preserve">Users will be able to export their transaction history in two formats: PDF (formatted for reading) and CSV (formatted for spreadsheets). The export will respect any active filters.</w:t>
      </w:r>
    </w:p>
    <w:p>
      <w:pPr>
        <w:pStyle w:val="BodyText"/>
      </w:pPr>
      <w:r>
        <w:t xml:space="preserve">Exports of more than 6 months of data will be generated asynchronously and delivered to the user via in-app message with a download link. The link will be valid for 7 days.</w:t>
      </w:r>
    </w:p>
    <w:bookmarkEnd w:id="72"/>
    <w:bookmarkStart w:id="73" w:name="push-notifications"/>
    <w:p>
      <w:pPr>
        <w:pStyle w:val="Heading3"/>
      </w:pPr>
      <w:r>
        <w:t xml:space="preserve">2.6.5 Push Notifications</w:t>
      </w:r>
    </w:p>
    <w:p>
      <w:pPr>
        <w:pStyle w:val="FirstParagraph"/>
      </w:pPr>
      <w:r>
        <w:t xml:space="preserve">Push notifications will be sent within 3 seconds of any wallet event. The following events will trigger notifications: login from any device, successful top-up, successful P2P send, incoming P2P transfer, merchant payment, failed transaction, security alert, and refund received.</w:t>
      </w:r>
    </w:p>
    <w:p>
      <w:pPr>
        <w:pStyle w:val="BodyText"/>
      </w:pPr>
      <w:r>
        <w:t xml:space="preserve">Users will be able to configure their notification preferences by event type from the notification settings screen. Failed transactions and security alerts will always generate a notification regardless of user preferences and cannot be disabled.</w:t>
      </w:r>
    </w:p>
    <w:p>
      <w:pPr>
        <w:pStyle w:val="BodyText"/>
      </w:pPr>
      <w:r>
        <w:t xml:space="preserve">Notifications will include the event type, the amount where applicable, the counterparty where applicable, and a deep link that takes the user directly to the relevant transaction screen when the notification is tapped.</w:t>
      </w:r>
    </w:p>
    <w:bookmarkEnd w:id="73"/>
    <w:bookmarkStart w:id="74" w:name="in-app-notifications"/>
    <w:p>
      <w:pPr>
        <w:pStyle w:val="Heading3"/>
      </w:pPr>
      <w:r>
        <w:t xml:space="preserve">2.6.6 In-App Notifications</w:t>
      </w:r>
    </w:p>
    <w:p>
      <w:pPr>
        <w:pStyle w:val="FirstParagraph"/>
      </w:pPr>
      <w:r>
        <w:t xml:space="preserve">In addition to push notifications, an in-app notification centre will list the user’s recent notifications. Notifications will be retained in the centre for 30 days, after which they will be archived.</w:t>
      </w:r>
    </w:p>
    <w:p>
      <w:pPr>
        <w:pStyle w:val="BodyText"/>
      </w:pPr>
      <w:r>
        <w:t xml:space="preserve">Unread notifications will be indicated by a badge counter on the home screen icon. The counter will reset to zero when the user opens the notification centre.</w:t>
      </w:r>
    </w:p>
    <w:bookmarkEnd w:id="74"/>
    <w:bookmarkStart w:id="75" w:name="email-notifications"/>
    <w:p>
      <w:pPr>
        <w:pStyle w:val="Heading3"/>
      </w:pPr>
      <w:r>
        <w:t xml:space="preserve">2.6.7 Email Notifications</w:t>
      </w:r>
    </w:p>
    <w:p>
      <w:pPr>
        <w:pStyle w:val="FirstParagraph"/>
      </w:pPr>
      <w:r>
        <w:t xml:space="preserve">Users will receive email notifications for the following events only: account registration confirmation, KYC outcome, password or PIN reset, large transactions over USD 500, and account suspension.</w:t>
      </w:r>
    </w:p>
    <w:p>
      <w:pPr>
        <w:pStyle w:val="BodyText"/>
      </w:pPr>
      <w:r>
        <w:t xml:space="preserve">Email notifications cannot be disabled for security-related events. Users will be able to opt out of email notifications for transaction events from the settings screen.</w:t>
      </w:r>
    </w:p>
    <w:bookmarkEnd w:id="75"/>
    <w:bookmarkStart w:id="76" w:name="notification-quiet-hours"/>
    <w:p>
      <w:pPr>
        <w:pStyle w:val="Heading3"/>
      </w:pPr>
      <w:r>
        <w:t xml:space="preserve">2.6.8 Notification Quiet Hours</w:t>
      </w:r>
    </w:p>
    <w:p>
      <w:pPr>
        <w:pStyle w:val="FirstParagraph"/>
      </w:pPr>
      <w:r>
        <w:t xml:space="preserve">Users will be able to define quiet hours (a daily time range) during which push notifications will be suppressed and queued. Notifications queued during quiet hours will be delivered as a summary digest at the end of the quiet period. Security alerts will not respect quiet hours and will be delivered immediately.</w:t>
      </w:r>
    </w:p>
    <w:p>
      <w:r>
        <w:pict>
          <v:rect style="width:0;height:1.5pt" o:hralign="center" o:hrstd="t" o:hr="t"/>
        </w:pict>
      </w:r>
    </w:p>
    <w:bookmarkEnd w:id="76"/>
    <w:bookmarkEnd w:id="77"/>
    <w:bookmarkEnd w:id="78"/>
    <w:bookmarkStart w:id="85" w:name="part-3-cross-cutting-requirements"/>
    <w:p>
      <w:pPr>
        <w:pStyle w:val="Heading1"/>
      </w:pPr>
      <w:r>
        <w:t xml:space="preserve">Part 3 — Cross-Cutting Requirements</w:t>
      </w:r>
    </w:p>
    <w:bookmarkStart w:id="82" w:name="non-functional-requirements"/>
    <w:p>
      <w:pPr>
        <w:pStyle w:val="Heading2"/>
      </w:pPr>
      <w:r>
        <w:t xml:space="preserve">3.1 Non-Functional Requirements</w:t>
      </w:r>
    </w:p>
    <w:bookmarkStart w:id="79" w:name="performance"/>
    <w:p>
      <w:pPr>
        <w:pStyle w:val="Heading3"/>
      </w:pPr>
      <w:r>
        <w:t xml:space="preserve">Performance</w:t>
      </w:r>
    </w:p>
    <w:p>
      <w:pPr>
        <w:pStyle w:val="FirstParagraph"/>
      </w:pPr>
      <w:r>
        <w:t xml:space="preserve">The 95th percentile API response time will be under 800 milliseconds under normal load. The application will support 50,000 concurrent active sessions. Cold start time on a baseline device will not exceed 2.5 seconds.</w:t>
      </w:r>
    </w:p>
    <w:bookmarkEnd w:id="79"/>
    <w:bookmarkStart w:id="80" w:name="security"/>
    <w:p>
      <w:pPr>
        <w:pStyle w:val="Heading3"/>
      </w:pPr>
      <w:r>
        <w:t xml:space="preserve">Security</w:t>
      </w:r>
    </w:p>
    <w:p>
      <w:pPr>
        <w:pStyle w:val="FirstParagraph"/>
      </w:pPr>
      <w:r>
        <w:t xml:space="preserve">All API communications will use TLS 1.3. Sensitive data at rest will be encrypted using AES-256. The application will be compliant with PCI DSS Level 1. Failed login attempts will be rate-limited to 5 per minute per IP address.</w:t>
      </w:r>
    </w:p>
    <w:bookmarkEnd w:id="80"/>
    <w:bookmarkStart w:id="81" w:name="availability"/>
    <w:p>
      <w:pPr>
        <w:pStyle w:val="Heading3"/>
      </w:pPr>
      <w:r>
        <w:t xml:space="preserve">Availability</w:t>
      </w:r>
    </w:p>
    <w:p>
      <w:pPr>
        <w:pStyle w:val="FirstParagraph"/>
      </w:pPr>
      <w:r>
        <w:t xml:space="preserve">The system will maintain 99.95% uptime, excluding scheduled maintenance windows. Scheduled maintenance will not exceed 4 hours per month and will be communicated to users 72 hours in advance.</w:t>
      </w:r>
    </w:p>
    <w:bookmarkEnd w:id="81"/>
    <w:bookmarkEnd w:id="82"/>
    <w:bookmarkStart w:id="83" w:name="compliance"/>
    <w:p>
      <w:pPr>
        <w:pStyle w:val="Heading2"/>
      </w:pPr>
      <w:r>
        <w:t xml:space="preserve">3.2 Compliance</w:t>
      </w:r>
    </w:p>
    <w:p>
      <w:pPr>
        <w:pStyle w:val="FirstParagraph"/>
      </w:pPr>
      <w:r>
        <w:t xml:space="preserve">The application will be compliant with GDPR for EU users and CCPA for California users. Transaction records will be retained for a minimum of 7 years. Users will be able to request a full data export within the application.</w:t>
      </w:r>
    </w:p>
    <w:bookmarkEnd w:id="83"/>
    <w:bookmarkStart w:id="84" w:name="assumptions-constraints"/>
    <w:p>
      <w:pPr>
        <w:pStyle w:val="Heading2"/>
      </w:pPr>
      <w:r>
        <w:t xml:space="preserve">3.3 Assumptions &amp; Constraints</w:t>
      </w:r>
    </w:p>
    <w:p>
      <w:pPr>
        <w:pStyle w:val="FirstParagraph"/>
      </w:pPr>
      <w:r>
        <w:t xml:space="preserve">The application will not function in offline mode for any transaction operations. The application will require a minimum of 200 MB free device storage at install time. All currency conversions will use the rate provided by the Core Banking API at the time of transaction; cached rates will not be used.</w:t>
      </w:r>
    </w:p>
    <w:p>
      <w:r>
        <w:pict>
          <v:rect style="width:0;height:1.5pt" o:hralign="center" o:hrstd="t" o:hr="t"/>
        </w:pict>
      </w:r>
    </w:p>
    <w:bookmarkEnd w:id="84"/>
    <w:bookmarkEnd w:id="85"/>
    <w:bookmarkStart w:id="86" w:name="part-4-glossary"/>
    <w:p>
      <w:pPr>
        <w:pStyle w:val="Heading1"/>
      </w:pPr>
      <w:r>
        <w:t xml:space="preserve">Part 4 — Glossary</w:t>
      </w:r>
    </w:p>
    <w:p>
      <w:pPr>
        <w:numPr>
          <w:ilvl w:val="0"/>
          <w:numId w:val="1003"/>
        </w:numPr>
        <w:pStyle w:val="Compact"/>
      </w:pPr>
      <w:r>
        <w:rPr>
          <w:bCs/>
          <w:b/>
        </w:rPr>
        <w:t xml:space="preserve">BRD:</w:t>
      </w:r>
      <w:r>
        <w:t xml:space="preserve"> </w:t>
      </w:r>
      <w:r>
        <w:t xml:space="preserve">Business Requirements Document</w:t>
      </w:r>
    </w:p>
    <w:p>
      <w:pPr>
        <w:numPr>
          <w:ilvl w:val="0"/>
          <w:numId w:val="1003"/>
        </w:numPr>
        <w:pStyle w:val="Compact"/>
      </w:pPr>
      <w:r>
        <w:rPr>
          <w:bCs/>
          <w:b/>
        </w:rPr>
        <w:t xml:space="preserve">CCPA:</w:t>
      </w:r>
      <w:r>
        <w:t xml:space="preserve"> </w:t>
      </w:r>
      <w:r>
        <w:t xml:space="preserve">California Consumer Privacy Act</w:t>
      </w:r>
    </w:p>
    <w:p>
      <w:pPr>
        <w:numPr>
          <w:ilvl w:val="0"/>
          <w:numId w:val="1003"/>
        </w:numPr>
        <w:pStyle w:val="Compact"/>
      </w:pPr>
      <w:r>
        <w:rPr>
          <w:bCs/>
          <w:b/>
        </w:rPr>
        <w:t xml:space="preserve">EMVCo:</w:t>
      </w:r>
      <w:r>
        <w:t xml:space="preserve"> </w:t>
      </w:r>
      <w:r>
        <w:t xml:space="preserve">EMV Compliance (the standards body for chip card and QR payment specifications)</w:t>
      </w:r>
    </w:p>
    <w:p>
      <w:pPr>
        <w:numPr>
          <w:ilvl w:val="0"/>
          <w:numId w:val="1003"/>
        </w:numPr>
        <w:pStyle w:val="Compact"/>
      </w:pPr>
      <w:r>
        <w:rPr>
          <w:bCs/>
          <w:b/>
        </w:rPr>
        <w:t xml:space="preserve">GDPR:</w:t>
      </w:r>
      <w:r>
        <w:t xml:space="preserve"> </w:t>
      </w:r>
      <w:r>
        <w:t xml:space="preserve">General Data Protection Regulation</w:t>
      </w:r>
    </w:p>
    <w:p>
      <w:pPr>
        <w:numPr>
          <w:ilvl w:val="0"/>
          <w:numId w:val="1003"/>
        </w:numPr>
        <w:pStyle w:val="Compact"/>
      </w:pPr>
      <w:r>
        <w:rPr>
          <w:bCs/>
          <w:b/>
        </w:rPr>
        <w:t xml:space="preserve">KYC:</w:t>
      </w:r>
      <w:r>
        <w:t xml:space="preserve"> </w:t>
      </w:r>
      <w:r>
        <w:t xml:space="preserve">Know Your Customer</w:t>
      </w:r>
    </w:p>
    <w:p>
      <w:pPr>
        <w:numPr>
          <w:ilvl w:val="0"/>
          <w:numId w:val="1003"/>
        </w:numPr>
        <w:pStyle w:val="Compact"/>
      </w:pPr>
      <w:r>
        <w:rPr>
          <w:bCs/>
          <w:b/>
        </w:rPr>
        <w:t xml:space="preserve">MCC:</w:t>
      </w:r>
      <w:r>
        <w:t xml:space="preserve"> </w:t>
      </w:r>
      <w:r>
        <w:t xml:space="preserve">Merchant Category Code</w:t>
      </w:r>
    </w:p>
    <w:p>
      <w:pPr>
        <w:numPr>
          <w:ilvl w:val="0"/>
          <w:numId w:val="1003"/>
        </w:numPr>
        <w:pStyle w:val="Compact"/>
      </w:pPr>
      <w:r>
        <w:rPr>
          <w:bCs/>
          <w:b/>
        </w:rPr>
        <w:t xml:space="preserve">NFR:</w:t>
      </w:r>
      <w:r>
        <w:t xml:space="preserve"> </w:t>
      </w:r>
      <w:r>
        <w:t xml:space="preserve">Non-Functional Requirement</w:t>
      </w:r>
    </w:p>
    <w:p>
      <w:pPr>
        <w:numPr>
          <w:ilvl w:val="0"/>
          <w:numId w:val="1003"/>
        </w:numPr>
        <w:pStyle w:val="Compact"/>
      </w:pPr>
      <w:r>
        <w:rPr>
          <w:bCs/>
          <w:b/>
        </w:rPr>
        <w:t xml:space="preserve">OTP:</w:t>
      </w:r>
      <w:r>
        <w:t xml:space="preserve"> </w:t>
      </w:r>
      <w:r>
        <w:t xml:space="preserve">One-Time Password</w:t>
      </w:r>
    </w:p>
    <w:p>
      <w:pPr>
        <w:numPr>
          <w:ilvl w:val="0"/>
          <w:numId w:val="1003"/>
        </w:numPr>
        <w:pStyle w:val="Compact"/>
      </w:pPr>
      <w:r>
        <w:rPr>
          <w:bCs/>
          <w:b/>
        </w:rPr>
        <w:t xml:space="preserve">P2P:</w:t>
      </w:r>
      <w:r>
        <w:t xml:space="preserve"> </w:t>
      </w:r>
      <w:r>
        <w:t xml:space="preserve">Peer-to-Peer</w:t>
      </w:r>
    </w:p>
    <w:p>
      <w:pPr>
        <w:numPr>
          <w:ilvl w:val="0"/>
          <w:numId w:val="1003"/>
        </w:numPr>
        <w:pStyle w:val="Compact"/>
      </w:pPr>
      <w:r>
        <w:rPr>
          <w:bCs/>
          <w:b/>
        </w:rPr>
        <w:t xml:space="preserve">PCI DSS:</w:t>
      </w:r>
      <w:r>
        <w:t xml:space="preserve"> </w:t>
      </w:r>
      <w:r>
        <w:t xml:space="preserve">Payment Card Industry Data Security Standard</w:t>
      </w:r>
    </w:p>
    <w:p>
      <w:pPr>
        <w:numPr>
          <w:ilvl w:val="0"/>
          <w:numId w:val="1003"/>
        </w:numPr>
        <w:pStyle w:val="Compact"/>
      </w:pPr>
      <w:r>
        <w:rPr>
          <w:bCs/>
          <w:b/>
        </w:rPr>
        <w:t xml:space="preserve">PSP:</w:t>
      </w:r>
      <w:r>
        <w:t xml:space="preserve"> </w:t>
      </w:r>
      <w:r>
        <w:t xml:space="preserve">Payment Service Provider</w:t>
      </w:r>
    </w:p>
    <w:p>
      <w:pPr>
        <w:numPr>
          <w:ilvl w:val="0"/>
          <w:numId w:val="1003"/>
        </w:numPr>
        <w:pStyle w:val="Compact"/>
      </w:pPr>
      <w:r>
        <w:rPr>
          <w:bCs/>
          <w:b/>
        </w:rPr>
        <w:t xml:space="preserve">QR:</w:t>
      </w:r>
      <w:r>
        <w:t xml:space="preserve"> </w:t>
      </w:r>
      <w:r>
        <w:t xml:space="preserve">Quick Response (code)</w:t>
      </w:r>
    </w:p>
    <w:p>
      <w:pPr>
        <w:numPr>
          <w:ilvl w:val="0"/>
          <w:numId w:val="1003"/>
        </w:numPr>
        <w:pStyle w:val="Compact"/>
      </w:pPr>
      <w:r>
        <w:rPr>
          <w:bCs/>
          <w:b/>
        </w:rPr>
        <w:t xml:space="preserve">TLS:</w:t>
      </w:r>
      <w:r>
        <w:t xml:space="preserve"> </w:t>
      </w:r>
      <w:r>
        <w:t xml:space="preserve">Transport Layer Security</w:t>
      </w:r>
    </w:p>
    <w:p>
      <w:r>
        <w:pict>
          <v:rect style="width:0;height:1.5pt" o:hralign="center" o:hrstd="t" o:hr="t"/>
        </w:pict>
      </w:r>
    </w:p>
    <w:p>
      <w:pPr>
        <w:pStyle w:val="FirstParagraph"/>
      </w:pPr>
      <w:r>
        <w:rPr>
          <w:iCs/>
          <w:i/>
        </w:rPr>
        <w:t xml:space="preserve">End of BRD.</w:t>
      </w:r>
    </w:p>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8CE2DAF96DB74AB724317CBCE7C3AB" ma:contentTypeVersion="14" ma:contentTypeDescription="Create a new document." ma:contentTypeScope="" ma:versionID="30a80f3200b4ca4d5ec20f8d017e6bd8">
  <xsd:schema xmlns:xsd="http://www.w3.org/2001/XMLSchema" xmlns:xs="http://www.w3.org/2001/XMLSchema" xmlns:p="http://schemas.microsoft.com/office/2006/metadata/properties" xmlns:ns2="44f33c92-e518-42e0-b273-fc06de4be945" xmlns:ns3="b6f91356-3cd6-4d0d-805e-ef60d26c393a" targetNamespace="http://schemas.microsoft.com/office/2006/metadata/properties" ma:root="true" ma:fieldsID="db9e33892725b30974ddc9b47d64ad76" ns2:_="" ns3:_="">
    <xsd:import namespace="44f33c92-e518-42e0-b273-fc06de4be945"/>
    <xsd:import namespace="b6f91356-3cd6-4d0d-805e-ef60d26c39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33c92-e518-42e0-b273-fc06de4be9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f91356-3cd6-4d0d-805e-ef60d26c39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237e6bf-3e39-4cdf-b4cb-745fab9b5bdc}" ma:internalName="TaxCatchAll" ma:showField="CatchAllData" ma:web="b6f91356-3cd6-4d0d-805e-ef60d26c39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f33c92-e518-42e0-b273-fc06de4be945">
      <Terms xmlns="http://schemas.microsoft.com/office/infopath/2007/PartnerControls"/>
    </lcf76f155ced4ddcb4097134ff3c332f>
    <TaxCatchAll xmlns="b6f91356-3cd6-4d0d-805e-ef60d26c393a" xsi:nil="true"/>
  </documentManagement>
</p:properties>
</file>

<file path=customXml/itemProps1.xml><?xml version="1.0" encoding="utf-8"?>
<ds:datastoreItem xmlns:ds="http://schemas.openxmlformats.org/officeDocument/2006/customXml" ds:itemID="{38D99557-865F-4BE8-A62E-23CA3B8D6CB1}"/>
</file>

<file path=customXml/itemProps2.xml><?xml version="1.0" encoding="utf-8"?>
<ds:datastoreItem xmlns:ds="http://schemas.openxmlformats.org/officeDocument/2006/customXml" ds:itemID="{33EF4396-FBEA-494A-A7A5-1EDD29B41E6E}"/>
</file>

<file path=customXml/itemProps3.xml><?xml version="1.0" encoding="utf-8"?>
<ds:datastoreItem xmlns:ds="http://schemas.openxmlformats.org/officeDocument/2006/customXml" ds:itemID="{DAC55099-22E4-41A3-8BEF-795416DFFB7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2026-05-18T13:52:54Z</dcterms:created>
  <dcterms:modified xsi:type="dcterms:W3CDTF">2026-05-18T13:52:54Z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0x0101009C8CE2DAF96DB74AB724317CBCE7C3AB</vt:lpwstr>
  </property>
</Properties>
</file>