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7253219a4154418855875a46de9a0b7451a1e0"/>
    <w:p>
      <w:pPr>
        <w:pStyle w:val="Heading1"/>
      </w:pPr>
      <w:r>
        <w:t xml:space="preserve">Sub-Document 02 — Authentication &amp; Session Security</w:t>
      </w:r>
    </w:p>
    <w:p>
      <w:pPr>
        <w:pStyle w:val="FirstParagraph"/>
      </w:pPr>
      <w:r>
        <w:rPr>
          <w:bCs/>
          <w:b/>
        </w:rPr>
        <w:t xml:space="preserve">Source:</w:t>
      </w:r>
      <w:r>
        <w:t xml:space="preserve"> </w:t>
      </w:r>
      <w:r>
        <w:t xml:space="preserve">SwiftPay Mobile Wallet v2.0 BRD</w:t>
      </w:r>
      <w:r>
        <w:br/>
      </w:r>
      <w:r>
        <w:rPr>
          <w:bCs/>
          <w:b/>
        </w:rPr>
        <w:t xml:space="preserve">Feature Area:</w:t>
      </w:r>
      <w:r>
        <w:t xml:space="preserve"> </w:t>
      </w:r>
      <w:r>
        <w:t xml:space="preserve">Authentication &amp; Session Security</w:t>
      </w:r>
      <w:r>
        <w:br/>
      </w:r>
      <w:r>
        <w:rPr>
          <w:bCs/>
          <w:b/>
        </w:rPr>
        <w:t xml:space="preserve">Document ID:</w:t>
      </w:r>
      <w:r>
        <w:t xml:space="preserve"> </w:t>
      </w:r>
      <w:r>
        <w:t xml:space="preserve">SP-BRD-SD-02</w:t>
      </w:r>
    </w:p>
    <w:p>
      <w:r>
        <w:pict>
          <v:rect style="width:0;height:1.5pt" o:hralign="center" o:hrstd="t" o:hr="t"/>
        </w:pict>
      </w:r>
    </w:p>
    <w:bookmarkStart w:id="20" w:name="purpose"/>
    <w:p>
      <w:pPr>
        <w:pStyle w:val="Heading2"/>
      </w:pPr>
      <w:r>
        <w:t xml:space="preserve">1. Purpose</w:t>
      </w:r>
    </w:p>
    <w:p>
      <w:pPr>
        <w:pStyle w:val="FirstParagraph"/>
      </w:pPr>
      <w:r>
        <w:t xml:space="preserve">This section defines how users authenticate into SwiftPay, how sessions are managed, and what security controls protect their account from unauthorised access.</w:t>
      </w:r>
    </w:p>
    <w:bookmarkEnd w:id="20"/>
    <w:bookmarkStart w:id="21" w:name="pin-based-login"/>
    <w:p>
      <w:pPr>
        <w:pStyle w:val="Heading2"/>
      </w:pPr>
      <w:r>
        <w:t xml:space="preserve">2. PIN-Based Login</w:t>
      </w:r>
    </w:p>
    <w:p>
      <w:pPr>
        <w:pStyle w:val="FirstParagraph"/>
      </w:pPr>
      <w:r>
        <w:t xml:space="preserve">All users will be able to log in using their 6-digit PIN. The PIN entry screen will mask the digits as the user types. After 5 consecutive incorrect PIN entries, the user will be locked out of the application for 15 minutes. After 10 consecutive incorrect entries across multiple sessions, the account will be suspended and the user will be required to reset their PIN through a recovery flow involving OTP verification.</w:t>
      </w:r>
    </w:p>
    <w:bookmarkEnd w:id="21"/>
    <w:bookmarkStart w:id="22" w:name="biometric-login"/>
    <w:p>
      <w:pPr>
        <w:pStyle w:val="Heading2"/>
      </w:pPr>
      <w:r>
        <w:t xml:space="preserve">3. Biometric Login</w:t>
      </w:r>
    </w:p>
    <w:p>
      <w:pPr>
        <w:pStyle w:val="FirstParagraph"/>
      </w:pPr>
      <w:r>
        <w:t xml:space="preserve">Biometric login will be supported on devices that have Face ID, Touch ID, or fingerprint hardware. Biometric authentication will be optional and opt-in only. Users will be able to enable or disable biometric login at any time from the security settings screen.</w:t>
      </w:r>
    </w:p>
    <w:p>
      <w:pPr>
        <w:pStyle w:val="BodyText"/>
      </w:pPr>
      <w:r>
        <w:t xml:space="preserve">PIN login will always remain available as a fallback option, even when biometrics are enabled. After 5 consecutive failed biometric attempts in a single session, the system will require the user to fall back to PIN entry.</w:t>
      </w:r>
    </w:p>
    <w:p>
      <w:pPr>
        <w:pStyle w:val="BodyText"/>
      </w:pPr>
      <w:r>
        <w:t xml:space="preserve">Biometric authentication will not be permitted for transactions above USD 500. Such transactions will require PIN entry regardless of biometric login status.</w:t>
      </w:r>
    </w:p>
    <w:bookmarkEnd w:id="22"/>
    <w:bookmarkStart w:id="23" w:name="session-management"/>
    <w:p>
      <w:pPr>
        <w:pStyle w:val="Heading2"/>
      </w:pPr>
      <w:r>
        <w:t xml:space="preserve">4. Session Management</w:t>
      </w:r>
    </w:p>
    <w:p>
      <w:pPr>
        <w:pStyle w:val="FirstParagraph"/>
      </w:pPr>
      <w:r>
        <w:t xml:space="preserve">A session will be considered active from the moment of successful login. Active sessions will automatically expire after 15 minutes of user inactivity. Inactivity is defined as no taps, scrolls, or background API calls initiated by user actions.</w:t>
      </w:r>
    </w:p>
    <w:p>
      <w:pPr>
        <w:pStyle w:val="BodyText"/>
      </w:pPr>
      <w:r>
        <w:t xml:space="preserve">If the user’s device is detected to have a new SIM card inserted, all active sessions will be terminated immediately and the user will be required to re-authenticate.</w:t>
      </w:r>
    </w:p>
    <w:p>
      <w:pPr>
        <w:pStyle w:val="BodyText"/>
      </w:pPr>
      <w:r>
        <w:t xml:space="preserve">When a user changes their PIN, all active sessions across all devices will be terminated automatically as a security measure.</w:t>
      </w:r>
    </w:p>
    <w:bookmarkEnd w:id="23"/>
    <w:bookmarkStart w:id="24" w:name="multi-device-login"/>
    <w:p>
      <w:pPr>
        <w:pStyle w:val="Heading2"/>
      </w:pPr>
      <w:r>
        <w:t xml:space="preserve">5. Multi-Device Login</w:t>
      </w:r>
    </w:p>
    <w:p>
      <w:pPr>
        <w:pStyle w:val="FirstParagraph"/>
      </w:pPr>
      <w:r>
        <w:t xml:space="preserve">Users will be allowed to be logged in on a maximum of two devices simultaneously. When a third device attempts to log in, the oldest active session will be terminated.</w:t>
      </w:r>
    </w:p>
    <w:p>
      <w:pPr>
        <w:pStyle w:val="BodyText"/>
      </w:pPr>
      <w:r>
        <w:t xml:space="preserve">Users will be able to view all active sessions from the security settings screen and will be able to log out of any session remotely.</w:t>
      </w:r>
    </w:p>
    <w:bookmarkEnd w:id="24"/>
    <w:bookmarkStart w:id="25" w:name="suspicious-activity-detection"/>
    <w:p>
      <w:pPr>
        <w:pStyle w:val="Heading2"/>
      </w:pPr>
      <w:r>
        <w:t xml:space="preserve">6. Suspicious Activity Detection</w:t>
      </w:r>
    </w:p>
    <w:p>
      <w:pPr>
        <w:pStyle w:val="FirstParagraph"/>
      </w:pPr>
      <w:r>
        <w:t xml:space="preserve">The system will monitor login attempts and flag suspicious activity. The following will trigger a security challenge requiring OTP verification: login from a new device, login from a new country, login after 90 days of inactivity, and login following a recent password reset.</w:t>
      </w:r>
    </w:p>
    <w:p>
      <w:pPr>
        <w:pStyle w:val="BodyText"/>
      </w:pPr>
      <w:r>
        <w:t xml:space="preserve">A failed security challenge will lock the account for 30 minutes and notify the user via SMS and push notification.</w:t>
      </w:r>
    </w:p>
    <w:bookmarkEnd w:id="25"/>
    <w:bookmarkStart w:id="26" w:name="password-and-pin-recovery"/>
    <w:p>
      <w:pPr>
        <w:pStyle w:val="Heading2"/>
      </w:pPr>
      <w:r>
        <w:t xml:space="preserve">7. Password and PIN Recovery</w:t>
      </w:r>
    </w:p>
    <w:p>
      <w:pPr>
        <w:pStyle w:val="FirstParagraph"/>
      </w:pPr>
      <w:r>
        <w:t xml:space="preserve">PIN recovery will require OTP verification to the registered mobile number, followed by KYC selfie liveness check. The system will not allow the new PIN to be the same as any of the user’s previous 5 PINs.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CE2DAF96DB74AB724317CBCE7C3AB" ma:contentTypeVersion="14" ma:contentTypeDescription="Create a new document." ma:contentTypeScope="" ma:versionID="30a80f3200b4ca4d5ec20f8d017e6bd8">
  <xsd:schema xmlns:xsd="http://www.w3.org/2001/XMLSchema" xmlns:xs="http://www.w3.org/2001/XMLSchema" xmlns:p="http://schemas.microsoft.com/office/2006/metadata/properties" xmlns:ns2="44f33c92-e518-42e0-b273-fc06de4be945" xmlns:ns3="b6f91356-3cd6-4d0d-805e-ef60d26c393a" targetNamespace="http://schemas.microsoft.com/office/2006/metadata/properties" ma:root="true" ma:fieldsID="db9e33892725b30974ddc9b47d64ad76" ns2:_="" ns3:_="">
    <xsd:import namespace="44f33c92-e518-42e0-b273-fc06de4be945"/>
    <xsd:import namespace="b6f91356-3cd6-4d0d-805e-ef60d26c39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33c92-e518-42e0-b273-fc06de4be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1356-3cd6-4d0d-805e-ef60d26c39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37e6bf-3e39-4cdf-b4cb-745fab9b5bdc}" ma:internalName="TaxCatchAll" ma:showField="CatchAllData" ma:web="b6f91356-3cd6-4d0d-805e-ef60d26c3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f33c92-e518-42e0-b273-fc06de4be945">
      <Terms xmlns="http://schemas.microsoft.com/office/infopath/2007/PartnerControls"/>
    </lcf76f155ced4ddcb4097134ff3c332f>
    <TaxCatchAll xmlns="b6f91356-3cd6-4d0d-805e-ef60d26c393a" xsi:nil="true"/>
  </documentManagement>
</p:properties>
</file>

<file path=customXml/itemProps1.xml><?xml version="1.0" encoding="utf-8"?>
<ds:datastoreItem xmlns:ds="http://schemas.openxmlformats.org/officeDocument/2006/customXml" ds:itemID="{EB06A3AA-A6FE-49B2-A904-60F572FEED04}"/>
</file>

<file path=customXml/itemProps2.xml><?xml version="1.0" encoding="utf-8"?>
<ds:datastoreItem xmlns:ds="http://schemas.openxmlformats.org/officeDocument/2006/customXml" ds:itemID="{32946122-7181-4CC3-9568-214E18C74F6F}"/>
</file>

<file path=customXml/itemProps3.xml><?xml version="1.0" encoding="utf-8"?>
<ds:datastoreItem xmlns:ds="http://schemas.openxmlformats.org/officeDocument/2006/customXml" ds:itemID="{C2D497C0-E832-431E-93A2-BC28B157F16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2026-05-18T13:52:54Z</dcterms:created>
  <dcterms:modified xsi:type="dcterms:W3CDTF">2026-05-18T13:52:54Z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0x0101009C8CE2DAF96DB74AB724317CBCE7C3AB</vt:lpwstr>
  </property>
</Properties>
</file>