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b-document-03-wallet-card-management"/>
    <w:p>
      <w:pPr>
        <w:pStyle w:val="Heading1"/>
      </w:pPr>
      <w:r>
        <w:t xml:space="preserve">Sub-Document 03 — Wallet &amp; Card Management</w:t>
      </w:r>
    </w:p>
    <w:p>
      <w:pPr>
        <w:pStyle w:val="FirstParagraph"/>
      </w:pPr>
      <w:r>
        <w:rPr>
          <w:bCs/>
          <w:b/>
        </w:rPr>
        <w:t xml:space="preserve">Source:</w:t>
      </w:r>
      <w:r>
        <w:t xml:space="preserve"> </w:t>
      </w:r>
      <w:r>
        <w:t xml:space="preserve">SwiftPay Mobile Wallet v2.0 BRD</w:t>
      </w:r>
      <w:r>
        <w:br/>
      </w:r>
      <w:r>
        <w:rPr>
          <w:bCs/>
          <w:b/>
        </w:rPr>
        <w:t xml:space="preserve">Feature Area:</w:t>
      </w:r>
      <w:r>
        <w:t xml:space="preserve"> </w:t>
      </w:r>
      <w:r>
        <w:t xml:space="preserve">Wallet &amp; Card Management</w:t>
      </w:r>
      <w:r>
        <w:br/>
      </w:r>
      <w:r>
        <w:rPr>
          <w:bCs/>
          <w:b/>
        </w:rPr>
        <w:t xml:space="preserve">Document ID:</w:t>
      </w:r>
      <w:r>
        <w:t xml:space="preserve"> </w:t>
      </w:r>
      <w:r>
        <w:t xml:space="preserve">SP-BRD-SD-03</w:t>
      </w:r>
    </w:p>
    <w:p>
      <w:r>
        <w:pict>
          <v:rect style="width:0;height:1.5pt" o:hralign="center" o:hrstd="t" o:hr="t"/>
        </w:pict>
      </w:r>
    </w:p>
    <w:bookmarkStart w:id="20" w:name="purpose"/>
    <w:p>
      <w:pPr>
        <w:pStyle w:val="Heading2"/>
      </w:pPr>
      <w:r>
        <w:t xml:space="preserve">1. Purpose</w:t>
      </w:r>
    </w:p>
    <w:p>
      <w:pPr>
        <w:pStyle w:val="FirstParagraph"/>
      </w:pPr>
      <w:r>
        <w:t xml:space="preserve">This section defines how users link payment cards to their wallet, add funds to their wallet balance, and manage their funding sources.</w:t>
      </w:r>
    </w:p>
    <w:bookmarkEnd w:id="20"/>
    <w:bookmarkStart w:id="21" w:name="linking-payment-cards"/>
    <w:p>
      <w:pPr>
        <w:pStyle w:val="Heading2"/>
      </w:pPr>
      <w:r>
        <w:t xml:space="preserve">2. Linking Payment Cards</w:t>
      </w:r>
    </w:p>
    <w:p>
      <w:pPr>
        <w:pStyle w:val="FirstParagraph"/>
      </w:pPr>
      <w:r>
        <w:t xml:space="preserve">Users will be able to link Visa, Mastercard, and American Express debit and credit cards to their wallet. Card numbers will be validated using the Luhn algorithm at the point of entry. Cards that fail validation will be rejected before any backend call is made.</w:t>
      </w:r>
    </w:p>
    <w:p>
      <w:pPr>
        <w:pStyle w:val="BodyText"/>
      </w:pPr>
      <w:r>
        <w:t xml:space="preserve">The CVV will be requested during the linking transaction and will be used only for the initial verification charge. The CVV will never be stored. The verification charge will be a USD 0.00 authorisation (zero-amount auth) where supported by the card network, or a USD 1.00 reversible authorisation as fallback.</w:t>
      </w:r>
    </w:p>
    <w:p>
      <w:pPr>
        <w:pStyle w:val="BodyText"/>
      </w:pPr>
      <w:r>
        <w:t xml:space="preserve">A user will be allowed to link a maximum of 5 cards per wallet. Once the limit is reached, the user will be required to remove an existing card before adding a new one.</w:t>
      </w:r>
    </w:p>
    <w:p>
      <w:pPr>
        <w:pStyle w:val="BodyText"/>
      </w:pPr>
      <w:r>
        <w:t xml:space="preserve">Linked cards will be displayed with the card brand, last 4 digits, expiry month and year, and a user-assigned nickname. The user will be able to set one card as the default funding source.</w:t>
      </w:r>
    </w:p>
    <w:bookmarkEnd w:id="21"/>
    <w:bookmarkStart w:id="22" w:name="adding-funds-to-wallet"/>
    <w:p>
      <w:pPr>
        <w:pStyle w:val="Heading2"/>
      </w:pPr>
      <w:r>
        <w:t xml:space="preserve">3. Adding Funds to Wallet</w:t>
      </w:r>
    </w:p>
    <w:p>
      <w:pPr>
        <w:pStyle w:val="FirstParagraph"/>
      </w:pPr>
      <w:r>
        <w:t xml:space="preserve">Users will be able to add funds to their wallet balance from any linked card. The minimum top-up amount will be USD 1 and the maximum will be USD 2,000 per single transaction.</w:t>
      </w:r>
    </w:p>
    <w:p>
      <w:pPr>
        <w:pStyle w:val="BodyText"/>
      </w:pPr>
      <w:r>
        <w:t xml:space="preserve">Daily cumulative top-up limits will be USD 5,000 for users with completed KYC and USD 200 for users with pending KYC. Monthly cumulative limits will be USD 20,000 for KYC-completed users.</w:t>
      </w:r>
    </w:p>
    <w:p>
      <w:pPr>
        <w:pStyle w:val="BodyText"/>
      </w:pPr>
      <w:r>
        <w:t xml:space="preserve">A processing fee of 1.5% will be applied to credit card top-ups. Debit card top-ups will be processed free of charge. The fee will be clearly displayed to the user before they confirm the transaction.</w:t>
      </w:r>
    </w:p>
    <w:p>
      <w:pPr>
        <w:pStyle w:val="BodyText"/>
      </w:pPr>
      <w:r>
        <w:t xml:space="preserve">Funds will reflect in the user’s wallet balance within 10 seconds of successful card authorisation. In the event of a delay beyond 30 seconds, the user will receive a notification informing them that the transaction is being processed and they will be notified of the outcome.</w:t>
      </w:r>
    </w:p>
    <w:bookmarkEnd w:id="22"/>
    <w:bookmarkStart w:id="23" w:name="withdrawal-to-bank-account"/>
    <w:p>
      <w:pPr>
        <w:pStyle w:val="Heading2"/>
      </w:pPr>
      <w:r>
        <w:t xml:space="preserve">4. Withdrawal to Bank Account</w:t>
      </w:r>
    </w:p>
    <w:p>
      <w:pPr>
        <w:pStyle w:val="FirstParagraph"/>
      </w:pPr>
      <w:r>
        <w:t xml:space="preserve">Users will be able to withdraw funds from their wallet to a linked bank account. The minimum withdrawal amount will be USD 10 and the maximum will be USD 10,000 per transaction.</w:t>
      </w:r>
    </w:p>
    <w:p>
      <w:pPr>
        <w:pStyle w:val="BodyText"/>
      </w:pPr>
      <w:r>
        <w:t xml:space="preserve">Withdrawals will be processed within 1 business day. A flat fee of USD 0.50 will apply to each withdrawal under USD 500. Withdrawals of USD 500 or above will be free of charge.</w:t>
      </w:r>
    </w:p>
    <w:bookmarkEnd w:id="23"/>
    <w:bookmarkStart w:id="24" w:name="wallet-balance-display"/>
    <w:p>
      <w:pPr>
        <w:pStyle w:val="Heading2"/>
      </w:pPr>
      <w:r>
        <w:t xml:space="preserve">5. Wallet Balance Display</w:t>
      </w:r>
    </w:p>
    <w:p>
      <w:pPr>
        <w:pStyle w:val="FirstParagraph"/>
      </w:pPr>
      <w:r>
        <w:t xml:space="preserve">The wallet balance will be displayed on the home screen in the user’s preferred currency. Users will be able to hide the balance by tapping a visibility toggle, in which case the digits will be masked.</w:t>
      </w:r>
    </w:p>
    <w:p>
      <w:pPr>
        <w:pStyle w:val="BodyText"/>
      </w:pPr>
      <w:r>
        <w:t xml:space="preserve">When the wallet balance falls below USD 5, the user will see a non-blocking prompt suggesting they top up before their next transaction.</w:t>
      </w:r>
    </w:p>
    <w:bookmarkEnd w:id="24"/>
    <w:bookmarkStart w:id="25" w:name="card-removal"/>
    <w:p>
      <w:pPr>
        <w:pStyle w:val="Heading2"/>
      </w:pPr>
      <w:r>
        <w:t xml:space="preserve">6. Card Removal</w:t>
      </w:r>
    </w:p>
    <w:p>
      <w:pPr>
        <w:pStyle w:val="FirstParagraph"/>
      </w:pPr>
      <w:r>
        <w:t xml:space="preserve">Users will be able to remove a linked card at any time. If the card being removed is the default funding source, the user will be prompted to select a new default before removal can proceed. If only one card is linked, the user will be allowed to remove it, but they will be informed that they will not be able to add funds until a new card is linked.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CE2DAF96DB74AB724317CBCE7C3AB" ma:contentTypeVersion="14" ma:contentTypeDescription="Create a new document." ma:contentTypeScope="" ma:versionID="30a80f3200b4ca4d5ec20f8d017e6bd8">
  <xsd:schema xmlns:xsd="http://www.w3.org/2001/XMLSchema" xmlns:xs="http://www.w3.org/2001/XMLSchema" xmlns:p="http://schemas.microsoft.com/office/2006/metadata/properties" xmlns:ns2="44f33c92-e518-42e0-b273-fc06de4be945" xmlns:ns3="b6f91356-3cd6-4d0d-805e-ef60d26c393a" targetNamespace="http://schemas.microsoft.com/office/2006/metadata/properties" ma:root="true" ma:fieldsID="db9e33892725b30974ddc9b47d64ad76" ns2:_="" ns3:_="">
    <xsd:import namespace="44f33c92-e518-42e0-b273-fc06de4be945"/>
    <xsd:import namespace="b6f91356-3cd6-4d0d-805e-ef60d26c39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33c92-e518-42e0-b273-fc06de4be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1356-3cd6-4d0d-805e-ef60d26c39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37e6bf-3e39-4cdf-b4cb-745fab9b5bdc}" ma:internalName="TaxCatchAll" ma:showField="CatchAllData" ma:web="b6f91356-3cd6-4d0d-805e-ef60d26c3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f33c92-e518-42e0-b273-fc06de4be945">
      <Terms xmlns="http://schemas.microsoft.com/office/infopath/2007/PartnerControls"/>
    </lcf76f155ced4ddcb4097134ff3c332f>
    <TaxCatchAll xmlns="b6f91356-3cd6-4d0d-805e-ef60d26c393a" xsi:nil="true"/>
  </documentManagement>
</p:properties>
</file>

<file path=customXml/itemProps1.xml><?xml version="1.0" encoding="utf-8"?>
<ds:datastoreItem xmlns:ds="http://schemas.openxmlformats.org/officeDocument/2006/customXml" ds:itemID="{0A429AC4-50F5-461C-848E-10B860D4A1CB}"/>
</file>

<file path=customXml/itemProps2.xml><?xml version="1.0" encoding="utf-8"?>
<ds:datastoreItem xmlns:ds="http://schemas.openxmlformats.org/officeDocument/2006/customXml" ds:itemID="{4E704CC3-61C9-4844-8E7D-8011CA79A760}"/>
</file>

<file path=customXml/itemProps3.xml><?xml version="1.0" encoding="utf-8"?>
<ds:datastoreItem xmlns:ds="http://schemas.openxmlformats.org/officeDocument/2006/customXml" ds:itemID="{46AA9D0C-A336-404B-B1C0-D3C614E6572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2026-05-18T13:52:54Z</dcterms:created>
  <dcterms:modified xsi:type="dcterms:W3CDTF">2026-05-18T13:52:54Z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0x0101009C8CE2DAF96DB74AB724317CBCE7C3AB</vt:lpwstr>
  </property>
</Properties>
</file>