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sub-document-05-merchant-payments"/>
    <w:p>
      <w:pPr>
        <w:pStyle w:val="Heading1"/>
      </w:pPr>
      <w:r>
        <w:t xml:space="preserve">Sub-Document 05 — Merchant Payments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r>
        <w:t xml:space="preserve">SwiftPay Mobile Wallet v2.0 BRD</w:t>
      </w:r>
      <w:r>
        <w:br/>
      </w:r>
      <w:r>
        <w:rPr>
          <w:bCs/>
          <w:b/>
        </w:rPr>
        <w:t xml:space="preserve">Feature Area:</w:t>
      </w:r>
      <w:r>
        <w:t xml:space="preserve"> </w:t>
      </w:r>
      <w:r>
        <w:t xml:space="preserve">Merchant Payments</w:t>
      </w:r>
      <w:r>
        <w:br/>
      </w:r>
      <w:r>
        <w:rPr>
          <w:bCs/>
          <w:b/>
        </w:rPr>
        <w:t xml:space="preserve">Document ID:</w:t>
      </w:r>
      <w:r>
        <w:t xml:space="preserve"> </w:t>
      </w:r>
      <w:r>
        <w:t xml:space="preserve">SP-BRD-SD-05</w:t>
      </w:r>
    </w:p>
    <w:p>
      <w:r>
        <w:pict>
          <v:rect style="width:0;height:1.5pt" o:hralign="center" o:hrstd="t" o:hr="t"/>
        </w:pict>
      </w:r>
    </w:p>
    <w:bookmarkStart w:id="20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This section defines how SwiftPay users pay merchants using QR codes, both in-store and online.</w:t>
      </w:r>
    </w:p>
    <w:bookmarkEnd w:id="20"/>
    <w:bookmarkStart w:id="21" w:name="qr-code-standards"/>
    <w:p>
      <w:pPr>
        <w:pStyle w:val="Heading2"/>
      </w:pPr>
      <w:r>
        <w:t xml:space="preserve">2. QR Code Standards</w:t>
      </w:r>
    </w:p>
    <w:p>
      <w:pPr>
        <w:pStyle w:val="FirstParagraph"/>
      </w:pPr>
      <w:r>
        <w:t xml:space="preserve">SwiftPay will support two QR code standards: the EMVCo standard QR specification (used by most international merchants) and the SwiftPay proprietary QR format (used by SwiftPay-onboarded merchants for richer in-app experiences).</w:t>
      </w:r>
    </w:p>
    <w:p>
      <w:pPr>
        <w:pStyle w:val="BodyText"/>
      </w:pPr>
      <w:r>
        <w:t xml:space="preserve">Both standards will be detected automatically by the in-app camera scanner. The user will not be required to specify which type of QR they are scanning.</w:t>
      </w:r>
    </w:p>
    <w:bookmarkEnd w:id="21"/>
    <w:bookmarkStart w:id="22" w:name="static-vs-dynamic-qr-codes"/>
    <w:p>
      <w:pPr>
        <w:pStyle w:val="Heading2"/>
      </w:pPr>
      <w:r>
        <w:t xml:space="preserve">3. Static vs Dynamic QR Codes</w:t>
      </w:r>
    </w:p>
    <w:p>
      <w:pPr>
        <w:pStyle w:val="FirstParagraph"/>
      </w:pPr>
      <w:r>
        <w:t xml:space="preserve">Static QR codes will encode only the merchant identifier. When a static QR is scanned, the user will be required to enter the payment amount manually before authorising.</w:t>
      </w:r>
    </w:p>
    <w:p>
      <w:pPr>
        <w:pStyle w:val="BodyText"/>
      </w:pPr>
      <w:r>
        <w:t xml:space="preserve">Dynamic QR codes will encode the merchant identifier, the transaction amount, and a unique transaction reference. When a dynamic QR is scanned, the amount will be pre-filled and locked; the user will not be able to alter it.</w:t>
      </w:r>
    </w:p>
    <w:bookmarkEnd w:id="22"/>
    <w:bookmarkStart w:id="23" w:name="scan-to-pay-flow"/>
    <w:p>
      <w:pPr>
        <w:pStyle w:val="Heading2"/>
      </w:pPr>
      <w:r>
        <w:t xml:space="preserve">4. Scan-to-Pay Flow</w:t>
      </w:r>
    </w:p>
    <w:p>
      <w:pPr>
        <w:pStyle w:val="FirstParagraph"/>
      </w:pPr>
      <w:r>
        <w:t xml:space="preserve">The user will initiate a payment by tapping the</w:t>
      </w:r>
      <w:r>
        <w:t xml:space="preserve"> </w:t>
      </w:r>
      <w:r>
        <w:t xml:space="preserve">“</w:t>
      </w:r>
      <w:r>
        <w:t xml:space="preserve">Scan &amp; Pay</w:t>
      </w:r>
      <w:r>
        <w:t xml:space="preserve">”</w:t>
      </w:r>
      <w:r>
        <w:t xml:space="preserve"> </w:t>
      </w:r>
      <w:r>
        <w:t xml:space="preserve">button on the home screen. The in-app camera will open and the user will be prompted to point the camera at the merchant’s QR code.</w:t>
      </w:r>
    </w:p>
    <w:p>
      <w:pPr>
        <w:pStyle w:val="BodyText"/>
      </w:pPr>
      <w:r>
        <w:t xml:space="preserve">Once a valid QR is detected, the system will display a confirmation screen showing: the merchant’s registered business name, the merchant category code (MCC) translated to a human-readable category, the payment amount (editable for static, locked for dynamic), and the funding source.</w:t>
      </w:r>
    </w:p>
    <w:p>
      <w:pPr>
        <w:pStyle w:val="BodyText"/>
      </w:pPr>
      <w:r>
        <w:t xml:space="preserve">The user will confirm the payment by either biometric or PIN authentication, following the same rules as peer-to-peer transfers.</w:t>
      </w:r>
    </w:p>
    <w:bookmarkEnd w:id="23"/>
    <w:bookmarkStart w:id="24" w:name="payment-limits"/>
    <w:p>
      <w:pPr>
        <w:pStyle w:val="Heading2"/>
      </w:pPr>
      <w:r>
        <w:t xml:space="preserve">5. Payment Limits</w:t>
      </w:r>
    </w:p>
    <w:p>
      <w:pPr>
        <w:pStyle w:val="FirstParagraph"/>
      </w:pPr>
      <w:r>
        <w:t xml:space="preserve">The minimum merchant payment amount will be USD 0.50. The maximum single merchant payment will be USD 5,000 for KYC-verified users and USD 50 for non-verified users.</w:t>
      </w:r>
    </w:p>
    <w:p>
      <w:pPr>
        <w:pStyle w:val="BodyText"/>
      </w:pPr>
      <w:r>
        <w:t xml:space="preserve">Daily cumulative merchant payment limits will be USD 10,000 for KYC-verified users.</w:t>
      </w:r>
    </w:p>
    <w:bookmarkEnd w:id="24"/>
    <w:bookmarkStart w:id="25" w:name="receipts"/>
    <w:p>
      <w:pPr>
        <w:pStyle w:val="Heading2"/>
      </w:pPr>
      <w:r>
        <w:t xml:space="preserve">6. Receipts</w:t>
      </w:r>
    </w:p>
    <w:p>
      <w:pPr>
        <w:pStyle w:val="FirstParagraph"/>
      </w:pPr>
      <w:r>
        <w:t xml:space="preserve">A digital receipt will be generated within 5 seconds of successful payment. The receipt will include: a unique transaction reference number, the merchant name and category, the payment date and time in the user’s local timezone, the amount paid, the funding source used, and a tax breakdown where applicable.</w:t>
      </w:r>
    </w:p>
    <w:p>
      <w:pPr>
        <w:pStyle w:val="BodyText"/>
      </w:pPr>
      <w:r>
        <w:t xml:space="preserve">The receipt will be available in the transaction history and will be downloadable as a PDF. The user will also be offered the option to email the receipt to themselves at the time of payment.</w:t>
      </w:r>
    </w:p>
    <w:bookmarkEnd w:id="25"/>
    <w:bookmarkStart w:id="26" w:name="failed-payments"/>
    <w:p>
      <w:pPr>
        <w:pStyle w:val="Heading2"/>
      </w:pPr>
      <w:r>
        <w:t xml:space="preserve">7. Failed Payments</w:t>
      </w:r>
    </w:p>
    <w:p>
      <w:pPr>
        <w:pStyle w:val="FirstParagraph"/>
      </w:pPr>
      <w:r>
        <w:t xml:space="preserve">If a payment fails, the user will be informed immediately and the funding source will not be debited. The reason for failure will be displayed in a user-friendly format. The user will be offered the option to retry with a different funding source or to cancel.</w:t>
      </w:r>
    </w:p>
    <w:p>
      <w:pPr>
        <w:pStyle w:val="BodyText"/>
      </w:pPr>
      <w:r>
        <w:t xml:space="preserve">If a payment is debited from the user’s funding source but does not reach the merchant within 30 seconds, the system will automatically initiate a reversal and the user will be notified.</w:t>
      </w:r>
    </w:p>
    <w:bookmarkEnd w:id="26"/>
    <w:bookmarkStart w:id="27" w:name="refunds"/>
    <w:p>
      <w:pPr>
        <w:pStyle w:val="Heading2"/>
      </w:pPr>
      <w:r>
        <w:t xml:space="preserve">8. Refunds</w:t>
      </w:r>
    </w:p>
    <w:p>
      <w:pPr>
        <w:pStyle w:val="FirstParagraph"/>
      </w:pPr>
      <w:r>
        <w:t xml:space="preserve">Refunds initiated by the merchant will be credited to the original funding source if the original payment was from a card, or to the wallet if the original payment was from the wallet balance. Refunds will be reflected in the user’s transaction history within 1 hour of being initiated by the merchant.</w:t>
      </w:r>
    </w:p>
    <w:p>
      <w:pPr>
        <w:pStyle w:val="BodyText"/>
      </w:pPr>
      <w:r>
        <w:t xml:space="preserve">Partial refunds will be supported. Users will be able to view the full refund history against each original transaction.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ettings" Target="settings.xml"/><Relationship Id="rId7" Type="http://schemas.openxmlformats.org/officeDocument/2006/relationships/footnotes" Target="foot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11" Type="http://schemas.openxmlformats.org/officeDocument/2006/relationships/customXml" Target="../customXml/item3.xml"/><Relationship Id="rId5" Type="http://schemas.openxmlformats.org/officeDocument/2006/relationships/fontTable" Target="fontTable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C8CE2DAF96DB74AB724317CBCE7C3AB" ma:contentTypeVersion="14" ma:contentTypeDescription="Create a new document." ma:contentTypeScope="" ma:versionID="30a80f3200b4ca4d5ec20f8d017e6bd8">
  <xsd:schema xmlns:xsd="http://www.w3.org/2001/XMLSchema" xmlns:xs="http://www.w3.org/2001/XMLSchema" xmlns:p="http://schemas.microsoft.com/office/2006/metadata/properties" xmlns:ns2="44f33c92-e518-42e0-b273-fc06de4be945" xmlns:ns3="b6f91356-3cd6-4d0d-805e-ef60d26c393a" targetNamespace="http://schemas.microsoft.com/office/2006/metadata/properties" ma:root="true" ma:fieldsID="db9e33892725b30974ddc9b47d64ad76" ns2:_="" ns3:_="">
    <xsd:import namespace="44f33c92-e518-42e0-b273-fc06de4be945"/>
    <xsd:import namespace="b6f91356-3cd6-4d0d-805e-ef60d26c393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f33c92-e518-42e0-b273-fc06de4be9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f91356-3cd6-4d0d-805e-ef60d26c393a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1237e6bf-3e39-4cdf-b4cb-745fab9b5bdc}" ma:internalName="TaxCatchAll" ma:showField="CatchAllData" ma:web="b6f91356-3cd6-4d0d-805e-ef60d26c39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4f33c92-e518-42e0-b273-fc06de4be945">
      <Terms xmlns="http://schemas.microsoft.com/office/infopath/2007/PartnerControls"/>
    </lcf76f155ced4ddcb4097134ff3c332f>
    <TaxCatchAll xmlns="b6f91356-3cd6-4d0d-805e-ef60d26c393a" xsi:nil="true"/>
  </documentManagement>
</p:properties>
</file>

<file path=customXml/itemProps1.xml><?xml version="1.0" encoding="utf-8"?>
<ds:datastoreItem xmlns:ds="http://schemas.openxmlformats.org/officeDocument/2006/customXml" ds:itemID="{2DD39ACF-0CB8-4993-B1F6-3CA31EC8A709}"/>
</file>

<file path=customXml/itemProps2.xml><?xml version="1.0" encoding="utf-8"?>
<ds:datastoreItem xmlns:ds="http://schemas.openxmlformats.org/officeDocument/2006/customXml" ds:itemID="{3A7D241D-BB69-4F82-891A-D6414DB604CF}"/>
</file>

<file path=customXml/itemProps3.xml><?xml version="1.0" encoding="utf-8"?>
<ds:datastoreItem xmlns:ds="http://schemas.openxmlformats.org/officeDocument/2006/customXml" ds:itemID="{69D73EA2-51A1-4538-B485-A6288E5DFD64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2026-05-18T13:52:55Z</dcterms:created>
  <dcterms:modified xsi:type="dcterms:W3CDTF">2026-05-18T13:52:55Z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0x0101009C8CE2DAF96DB74AB724317CBCE7C3AB</vt:lpwstr>
  </property>
</Properties>
</file>