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f323e791418217e6a41913661e1637edf68e39"/>
    <w:p>
      <w:pPr>
        <w:pStyle w:val="Heading1"/>
      </w:pPr>
      <w:r>
        <w:t xml:space="preserve">Sub-Document 06 — Transaction History &amp; Notifications</w:t>
      </w:r>
    </w:p>
    <w:p>
      <w:pPr>
        <w:pStyle w:val="FirstParagraph"/>
      </w:pPr>
      <w:r>
        <w:rPr>
          <w:bCs/>
          <w:b/>
        </w:rPr>
        <w:t xml:space="preserve">Source:</w:t>
      </w:r>
      <w:r>
        <w:t xml:space="preserve"> </w:t>
      </w:r>
      <w:r>
        <w:t xml:space="preserve">SwiftPay Mobile Wallet v2.0 BRD</w:t>
      </w:r>
      <w:r>
        <w:br/>
      </w:r>
      <w:r>
        <w:rPr>
          <w:bCs/>
          <w:b/>
        </w:rPr>
        <w:t xml:space="preserve">Feature Area:</w:t>
      </w:r>
      <w:r>
        <w:t xml:space="preserve"> </w:t>
      </w:r>
      <w:r>
        <w:t xml:space="preserve">Transaction History &amp; Notifications</w:t>
      </w:r>
      <w:r>
        <w:br/>
      </w:r>
      <w:r>
        <w:rPr>
          <w:bCs/>
          <w:b/>
        </w:rPr>
        <w:t xml:space="preserve">Document ID:</w:t>
      </w:r>
      <w:r>
        <w:t xml:space="preserve"> </w:t>
      </w:r>
      <w:r>
        <w:t xml:space="preserve">SP-BRD-SD-06</w:t>
      </w:r>
    </w:p>
    <w:p>
      <w:r>
        <w:pict>
          <v:rect style="width:0;height:1.5pt" o:hralign="center" o:hrstd="t" o:hr="t"/>
        </w:pict>
      </w:r>
    </w:p>
    <w:bookmarkStart w:id="20" w:name="purpose"/>
    <w:p>
      <w:pPr>
        <w:pStyle w:val="Heading2"/>
      </w:pPr>
      <w:r>
        <w:t xml:space="preserve">1. Purpose</w:t>
      </w:r>
    </w:p>
    <w:p>
      <w:pPr>
        <w:pStyle w:val="FirstParagraph"/>
      </w:pPr>
      <w:r>
        <w:t xml:space="preserve">This section defines how users view their transaction history and receive notifications about wallet activity.</w:t>
      </w:r>
    </w:p>
    <w:bookmarkEnd w:id="20"/>
    <w:bookmarkStart w:id="21" w:name="transaction-history-view"/>
    <w:p>
      <w:pPr>
        <w:pStyle w:val="Heading2"/>
      </w:pPr>
      <w:r>
        <w:t xml:space="preserve">2. Transaction History View</w:t>
      </w:r>
    </w:p>
    <w:p>
      <w:pPr>
        <w:pStyle w:val="FirstParagraph"/>
      </w:pPr>
      <w:r>
        <w:t xml:space="preserve">The transaction history screen will display the user’s most recent transactions in reverse chronological order. By default, the screen will show the last 90 days of activity. Users will be able to extend the view up to 7 years using a date-range picker.</w:t>
      </w:r>
    </w:p>
    <w:p>
      <w:pPr>
        <w:pStyle w:val="BodyText"/>
      </w:pPr>
      <w:r>
        <w:t xml:space="preserve">Each transaction record in the list view will display: the date and time, the counterparty (either merchant name, P2P recipient/sender, or</w:t>
      </w:r>
      <w:r>
        <w:t xml:space="preserve"> </w:t>
      </w:r>
      <w:r>
        <w:t xml:space="preserve">“</w:t>
      </w:r>
      <w:r>
        <w:t xml:space="preserve">Wallet Top-up</w:t>
      </w:r>
      <w:r>
        <w:t xml:space="preserve">”</w:t>
      </w:r>
      <w:r>
        <w:t xml:space="preserve">), the amount with a + or − prefix indicating credit or debit, and a status indicator (Pending, Completed, Failed, or Reversed).</w:t>
      </w:r>
    </w:p>
    <w:p>
      <w:pPr>
        <w:pStyle w:val="BodyText"/>
      </w:pPr>
      <w:r>
        <w:t xml:space="preserve">Tapping any transaction will open the transaction detail view, which will show all available information about that transaction including the unique reference number, the funding source used, any fees applied, the merchant category (where applicable), and the location (where available).</w:t>
      </w:r>
    </w:p>
    <w:bookmarkEnd w:id="21"/>
    <w:bookmarkStart w:id="22" w:name="filtering-and-search"/>
    <w:p>
      <w:pPr>
        <w:pStyle w:val="Heading2"/>
      </w:pPr>
      <w:r>
        <w:t xml:space="preserve">3. Filtering and Search</w:t>
      </w:r>
    </w:p>
    <w:p>
      <w:pPr>
        <w:pStyle w:val="FirstParagraph"/>
      </w:pPr>
      <w:r>
        <w:t xml:space="preserve">Users will be able to filter their transaction history by date range, transaction type (Top-up, P2P Send, P2P Receive, Merchant Payment, Withdrawal, Refund), counterparty name, and amount range.</w:t>
      </w:r>
    </w:p>
    <w:p>
      <w:pPr>
        <w:pStyle w:val="BodyText"/>
      </w:pPr>
      <w:r>
        <w:t xml:space="preserve">Users will be able to search their transaction history using a free-text search box. The search will match against counterparty name, transaction reference, and any user-added notes.</w:t>
      </w:r>
    </w:p>
    <w:bookmarkEnd w:id="22"/>
    <w:bookmarkStart w:id="23" w:name="export"/>
    <w:p>
      <w:pPr>
        <w:pStyle w:val="Heading2"/>
      </w:pPr>
      <w:r>
        <w:t xml:space="preserve">4. Export</w:t>
      </w:r>
    </w:p>
    <w:p>
      <w:pPr>
        <w:pStyle w:val="FirstParagraph"/>
      </w:pPr>
      <w:r>
        <w:t xml:space="preserve">Users will be able to export their transaction history in two formats: PDF (formatted for reading) and CSV (formatted for spreadsheets). The export will respect any active filters.</w:t>
      </w:r>
    </w:p>
    <w:p>
      <w:pPr>
        <w:pStyle w:val="BodyText"/>
      </w:pPr>
      <w:r>
        <w:t xml:space="preserve">Exports of more than 6 months of data will be generated asynchronously and delivered to the user via in-app message with a download link. The link will be valid for 7 days.</w:t>
      </w:r>
    </w:p>
    <w:bookmarkEnd w:id="23"/>
    <w:bookmarkStart w:id="24" w:name="push-notifications"/>
    <w:p>
      <w:pPr>
        <w:pStyle w:val="Heading2"/>
      </w:pPr>
      <w:r>
        <w:t xml:space="preserve">5. Push Notifications</w:t>
      </w:r>
    </w:p>
    <w:p>
      <w:pPr>
        <w:pStyle w:val="FirstParagraph"/>
      </w:pPr>
      <w:r>
        <w:t xml:space="preserve">Push notifications will be sent within 3 seconds of any wallet event. The following events will trigger notifications: login from any device, successful top-up, successful P2P send, incoming P2P transfer, merchant payment, failed transaction, security alert, and refund received.</w:t>
      </w:r>
    </w:p>
    <w:p>
      <w:pPr>
        <w:pStyle w:val="BodyText"/>
      </w:pPr>
      <w:r>
        <w:t xml:space="preserve">Users will be able to configure their notification preferences by event type from the notification settings screen. Failed transactions and security alerts will always generate a notification regardless of user preferences and cannot be disabled.</w:t>
      </w:r>
    </w:p>
    <w:p>
      <w:pPr>
        <w:pStyle w:val="BodyText"/>
      </w:pPr>
      <w:r>
        <w:t xml:space="preserve">Notifications will include the event type, the amount where applicable, the counterparty where applicable, and a deep link that takes the user directly to the relevant transaction screen when the notification is tapped.</w:t>
      </w:r>
    </w:p>
    <w:bookmarkEnd w:id="24"/>
    <w:bookmarkStart w:id="25" w:name="in-app-notifications"/>
    <w:p>
      <w:pPr>
        <w:pStyle w:val="Heading2"/>
      </w:pPr>
      <w:r>
        <w:t xml:space="preserve">6. In-App Notifications</w:t>
      </w:r>
    </w:p>
    <w:p>
      <w:pPr>
        <w:pStyle w:val="FirstParagraph"/>
      </w:pPr>
      <w:r>
        <w:t xml:space="preserve">In addition to push notifications, an in-app notification centre will list the user’s recent notifications. Notifications will be retained in the centre for 30 days, after which they will be archived.</w:t>
      </w:r>
    </w:p>
    <w:p>
      <w:pPr>
        <w:pStyle w:val="BodyText"/>
      </w:pPr>
      <w:r>
        <w:t xml:space="preserve">Unread notifications will be indicated by a badge counter on the home screen icon. The counter will reset to zero when the user opens the notification centre.</w:t>
      </w:r>
    </w:p>
    <w:bookmarkEnd w:id="25"/>
    <w:bookmarkStart w:id="26" w:name="email-notifications"/>
    <w:p>
      <w:pPr>
        <w:pStyle w:val="Heading2"/>
      </w:pPr>
      <w:r>
        <w:t xml:space="preserve">7. Email Notifications</w:t>
      </w:r>
    </w:p>
    <w:p>
      <w:pPr>
        <w:pStyle w:val="FirstParagraph"/>
      </w:pPr>
      <w:r>
        <w:t xml:space="preserve">Users will receive email notifications for the following events only: account registration confirmation, KYC outcome, password or PIN reset, large transactions over USD 500, and account suspension.</w:t>
      </w:r>
    </w:p>
    <w:p>
      <w:pPr>
        <w:pStyle w:val="BodyText"/>
      </w:pPr>
      <w:r>
        <w:t xml:space="preserve">Email notifications cannot be disabled for security-related events. Users will be able to opt out of email notifications for transaction events from the settings screen.</w:t>
      </w:r>
    </w:p>
    <w:bookmarkEnd w:id="26"/>
    <w:bookmarkStart w:id="27" w:name="notification-quiet-hours"/>
    <w:p>
      <w:pPr>
        <w:pStyle w:val="Heading2"/>
      </w:pPr>
      <w:r>
        <w:t xml:space="preserve">8. Notification Quiet Hours</w:t>
      </w:r>
    </w:p>
    <w:p>
      <w:pPr>
        <w:pStyle w:val="FirstParagraph"/>
      </w:pPr>
      <w:r>
        <w:t xml:space="preserve">Users will be able to define quiet hours (a daily time range) during which push notifications will be suppressed and queued. Notifications queued during quiet hours will be delivered as a summary digest at the end of the quiet period. Security alerts will not respect quiet hours and will be delivered immediately.</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8CE2DAF96DB74AB724317CBCE7C3AB" ma:contentTypeVersion="14" ma:contentTypeDescription="Create a new document." ma:contentTypeScope="" ma:versionID="30a80f3200b4ca4d5ec20f8d017e6bd8">
  <xsd:schema xmlns:xsd="http://www.w3.org/2001/XMLSchema" xmlns:xs="http://www.w3.org/2001/XMLSchema" xmlns:p="http://schemas.microsoft.com/office/2006/metadata/properties" xmlns:ns2="44f33c92-e518-42e0-b273-fc06de4be945" xmlns:ns3="b6f91356-3cd6-4d0d-805e-ef60d26c393a" targetNamespace="http://schemas.microsoft.com/office/2006/metadata/properties" ma:root="true" ma:fieldsID="db9e33892725b30974ddc9b47d64ad76" ns2:_="" ns3:_="">
    <xsd:import namespace="44f33c92-e518-42e0-b273-fc06de4be945"/>
    <xsd:import namespace="b6f91356-3cd6-4d0d-805e-ef60d26c393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33c92-e518-42e0-b273-fc06de4be9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f91356-3cd6-4d0d-805e-ef60d26c393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237e6bf-3e39-4cdf-b4cb-745fab9b5bdc}" ma:internalName="TaxCatchAll" ma:showField="CatchAllData" ma:web="b6f91356-3cd6-4d0d-805e-ef60d26c39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f33c92-e518-42e0-b273-fc06de4be945">
      <Terms xmlns="http://schemas.microsoft.com/office/infopath/2007/PartnerControls"/>
    </lcf76f155ced4ddcb4097134ff3c332f>
    <TaxCatchAll xmlns="b6f91356-3cd6-4d0d-805e-ef60d26c393a" xsi:nil="true"/>
  </documentManagement>
</p:properties>
</file>

<file path=customXml/itemProps1.xml><?xml version="1.0" encoding="utf-8"?>
<ds:datastoreItem xmlns:ds="http://schemas.openxmlformats.org/officeDocument/2006/customXml" ds:itemID="{770A64BA-D2A0-44D3-B617-E49487C19FCB}"/>
</file>

<file path=customXml/itemProps2.xml><?xml version="1.0" encoding="utf-8"?>
<ds:datastoreItem xmlns:ds="http://schemas.openxmlformats.org/officeDocument/2006/customXml" ds:itemID="{C2E2769D-9842-4D37-9E03-B5FBE10B70B7}"/>
</file>

<file path=customXml/itemProps3.xml><?xml version="1.0" encoding="utf-8"?>
<ds:datastoreItem xmlns:ds="http://schemas.openxmlformats.org/officeDocument/2006/customXml" ds:itemID="{7034B69A-30C1-42C6-BEB3-7579C5D9270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2026-05-18T13:52:55Z</dcterms:created>
  <dcterms:modified xsi:type="dcterms:W3CDTF">2026-05-18T13:52:55Z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0x0101009C8CE2DAF96DB74AB724317CBCE7C3AB</vt:lpwstr>
  </property>
</Properties>
</file>