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790464b266b786372ca9d1a5d6db49015b1bcab"/>
    <w:p>
      <w:pPr>
        <w:pStyle w:val="Heading1"/>
      </w:pPr>
      <w:r>
        <w:t xml:space="preserve">Sub-Document 07 — Global Concerns (NFRs, Compliance &amp; Cross-Cutting Rules)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SwiftPay Mobile Wallet v2.0 BRD — §2.1, §2.2, §3.1, §3.2, §3.3</w:t>
      </w:r>
      <w:r>
        <w:t xml:space="preserve"> </w:t>
      </w:r>
      <w:r>
        <w:rPr>
          <w:bCs/>
          <w:b/>
        </w:rPr>
        <w:t xml:space="preserve">Feature Area:</w:t>
      </w:r>
      <w:r>
        <w:t xml:space="preserve"> </w:t>
      </w:r>
      <w:r>
        <w:t xml:space="preserve">Cross-cutting (applies to every user story)</w:t>
      </w:r>
      <w:r>
        <w:t xml:space="preserve"> </w:t>
      </w:r>
      <w:r>
        <w:rPr>
          <w:bCs/>
          <w:b/>
        </w:rPr>
        <w:t xml:space="preserve">Document ID:</w:t>
      </w:r>
      <w:r>
        <w:t xml:space="preserve"> </w:t>
      </w:r>
      <w:r>
        <w:t xml:space="preserve">SP-BRD-SD-07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chunk consolidates the cross-cutting requirements that apply to every feature in SwiftPay — security, compliance, performance, and auth rules that span user stories. It is included in retrieval for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test-case-generation query so that the resulting test suites cover NFR, compliance, and security concerns alongside the feature-level functional coverage.</w:t>
      </w:r>
    </w:p>
    <w:p>
      <w:r>
        <w:pict>
          <v:rect style="width:0;height:1.5pt" o:hralign="center" o:hrstd="t" o:hr="t"/>
        </w:pict>
      </w:r>
    </w:p>
    <w:bookmarkEnd w:id="20"/>
    <w:bookmarkStart w:id="21" w:name="security-nfrs"/>
    <w:p>
      <w:pPr>
        <w:pStyle w:val="Heading2"/>
      </w:pPr>
      <w:r>
        <w:t xml:space="preserve">2. Security NFRs</w:t>
      </w:r>
    </w:p>
    <w:p>
      <w:pPr>
        <w:numPr>
          <w:ilvl w:val="0"/>
          <w:numId w:val="1001"/>
        </w:numPr>
        <w:pStyle w:val="Compact"/>
      </w:pPr>
      <w:r>
        <w:t xml:space="preserve">All API communications shall use</w:t>
      </w:r>
      <w:r>
        <w:t xml:space="preserve"> </w:t>
      </w:r>
      <w:r>
        <w:rPr>
          <w:bCs/>
          <w:b/>
        </w:rPr>
        <w:t xml:space="preserve">TLS 1.3</w:t>
      </w:r>
      <w:r>
        <w:t xml:space="preserve">. Weaker TLS versions are not accepted.</w:t>
      </w:r>
    </w:p>
    <w:p>
      <w:pPr>
        <w:numPr>
          <w:ilvl w:val="0"/>
          <w:numId w:val="1001"/>
        </w:numPr>
        <w:pStyle w:val="Compact"/>
      </w:pPr>
      <w:r>
        <w:t xml:space="preserve">Sensitive data at rest shall be encrypted using</w:t>
      </w:r>
      <w:r>
        <w:t xml:space="preserve"> </w:t>
      </w:r>
      <w:r>
        <w:rPr>
          <w:bCs/>
          <w:b/>
        </w:rPr>
        <w:t xml:space="preserve">AES-256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The application shall be</w:t>
      </w:r>
      <w:r>
        <w:t xml:space="preserve"> </w:t>
      </w:r>
      <w:r>
        <w:rPr>
          <w:bCs/>
          <w:b/>
        </w:rPr>
        <w:t xml:space="preserve">PCI DSS Level 1</w:t>
      </w:r>
      <w:r>
        <w:t xml:space="preserve"> </w:t>
      </w:r>
      <w:r>
        <w:t xml:space="preserve">compliant. Full PAN and CVV must not appear in any log, analytics event, crash report, or audit trail.</w:t>
      </w:r>
    </w:p>
    <w:p>
      <w:pPr>
        <w:numPr>
          <w:ilvl w:val="0"/>
          <w:numId w:val="1001"/>
        </w:numPr>
        <w:pStyle w:val="Compact"/>
      </w:pPr>
      <w:r>
        <w:t xml:space="preserve">Failed authentication attempts on sensitive endpoints (login, card linking, large transactions) shall be</w:t>
      </w:r>
      <w:r>
        <w:t xml:space="preserve"> </w:t>
      </w:r>
      <w:r>
        <w:rPr>
          <w:bCs/>
          <w:b/>
        </w:rPr>
        <w:t xml:space="preserve">rate-limited to 5 per minute per IP address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Session timeout:</w:t>
      </w:r>
      <w:r>
        <w:t xml:space="preserve"> </w:t>
      </w:r>
      <w:r>
        <w:rPr>
          <w:bCs/>
          <w:b/>
        </w:rPr>
        <w:t xml:space="preserve">15 minutes of user inactivity</w:t>
      </w:r>
      <w:r>
        <w:t xml:space="preserve">. Active sessions shall be terminated on</w:t>
      </w:r>
      <w:r>
        <w:t xml:space="preserve"> </w:t>
      </w:r>
      <w:r>
        <w:rPr>
          <w:bCs/>
          <w:b/>
        </w:rPr>
        <w:t xml:space="preserve">SIM change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PIN change</w:t>
      </w:r>
      <w:r>
        <w:t xml:space="preserve">.</w:t>
      </w:r>
    </w:p>
    <w:bookmarkEnd w:id="21"/>
    <w:bookmarkStart w:id="22" w:name="cross-cutting-authentication-rules"/>
    <w:p>
      <w:pPr>
        <w:pStyle w:val="Heading2"/>
      </w:pPr>
      <w:r>
        <w:t xml:space="preserve">3. Cross-Cutting Authentication Rules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PIN required for any transaction ≥ USD 500.</w:t>
      </w:r>
      <w:r>
        <w:t xml:space="preserve"> </w:t>
      </w:r>
      <w:r>
        <w:t xml:space="preserve">Biometric authentication is not permitted above this threshold.</w:t>
      </w:r>
    </w:p>
    <w:p>
      <w:pPr>
        <w:numPr>
          <w:ilvl w:val="0"/>
          <w:numId w:val="1002"/>
        </w:numPr>
        <w:pStyle w:val="Compact"/>
      </w:pPr>
      <w:r>
        <w:t xml:space="preserve">Biometric allowed for transactions below USD 500 only. After</w:t>
      </w:r>
      <w:r>
        <w:t xml:space="preserve"> </w:t>
      </w:r>
      <w:r>
        <w:rPr>
          <w:bCs/>
          <w:b/>
        </w:rPr>
        <w:t xml:space="preserve">5 consecutive biometric failures</w:t>
      </w:r>
      <w:r>
        <w:t xml:space="preserve">, the system shall fall back to PIN entry.</w:t>
      </w:r>
    </w:p>
    <w:p>
      <w:pPr>
        <w:numPr>
          <w:ilvl w:val="0"/>
          <w:numId w:val="1002"/>
        </w:numPr>
        <w:pStyle w:val="Compact"/>
      </w:pPr>
      <w:r>
        <w:t xml:space="preserve">PIN lockouts: 5 consecutive failures → 15-minute lockout. 10 consecutive failures across sessions → account suspension and forced PIN reset via OTP + KYC selfie liveness check.</w:t>
      </w:r>
    </w:p>
    <w:p>
      <w:pPr>
        <w:numPr>
          <w:ilvl w:val="0"/>
          <w:numId w:val="1002"/>
        </w:numPr>
        <w:pStyle w:val="Compact"/>
      </w:pPr>
      <w:r>
        <w:t xml:space="preserve">New PIN cannot match any of the user’s previous 5 PINs.</w:t>
      </w:r>
    </w:p>
    <w:bookmarkEnd w:id="22"/>
    <w:bookmarkStart w:id="23" w:name="kyc-state-dependent-limits"/>
    <w:p>
      <w:pPr>
        <w:pStyle w:val="Heading2"/>
      </w:pPr>
      <w:r>
        <w:t xml:space="preserve">4. KYC-State-Dependent Limits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Pending KYC</w:t>
      </w:r>
      <w:r>
        <w:t xml:space="preserve"> </w:t>
      </w:r>
      <w:r>
        <w:t xml:space="preserve">users: maximum wallet balance USD 200, maximum single transaction USD 50.</w:t>
      </w:r>
    </w:p>
    <w:p>
      <w:pPr>
        <w:numPr>
          <w:ilvl w:val="0"/>
          <w:numId w:val="1003"/>
        </w:numPr>
        <w:pStyle w:val="Compact"/>
      </w:pPr>
      <w:r>
        <w:t xml:space="preserve">Pending KYC daily limits: USD 200 add-fund, USD 100 outbound P2P.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Verified KYC</w:t>
      </w:r>
      <w:r>
        <w:t xml:space="preserve"> </w:t>
      </w:r>
      <w:r>
        <w:t xml:space="preserve">unlocks the full per-feature limits documented in each feature chunk (e.g., USD 1,000 per P2P transfer, USD 5,000 per day top-up, USD 5,000 per merchant payment).</w:t>
      </w:r>
    </w:p>
    <w:p>
      <w:pPr>
        <w:numPr>
          <w:ilvl w:val="0"/>
          <w:numId w:val="1003"/>
        </w:numPr>
        <w:pStyle w:val="Compact"/>
      </w:pPr>
      <w:r>
        <w:t xml:space="preserve">Users with</w:t>
      </w:r>
      <w:r>
        <w:t xml:space="preserve"> </w:t>
      </w:r>
      <w:r>
        <w:rPr>
          <w:bCs/>
          <w:b/>
        </w:rPr>
        <w:t xml:space="preserve">3 consecutive KYC rejections</w:t>
      </w:r>
      <w:r>
        <w:t xml:space="preserve"> </w:t>
      </w:r>
      <w:r>
        <w:t xml:space="preserve">must contact customer support and may not retry through the application.</w:t>
      </w:r>
    </w:p>
    <w:bookmarkEnd w:id="23"/>
    <w:bookmarkStart w:id="24" w:name="compliance"/>
    <w:p>
      <w:pPr>
        <w:pStyle w:val="Heading2"/>
      </w:pPr>
      <w:r>
        <w:t xml:space="preserve">5. Compliance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GDPR-compliant</w:t>
      </w:r>
      <w:r>
        <w:t xml:space="preserve"> </w:t>
      </w:r>
      <w:r>
        <w:t xml:space="preserve">for users in the EU.</w:t>
      </w:r>
      <w:r>
        <w:t xml:space="preserve"> </w:t>
      </w:r>
      <w:r>
        <w:rPr>
          <w:bCs/>
          <w:b/>
        </w:rPr>
        <w:t xml:space="preserve">CCPA-compliant</w:t>
      </w:r>
      <w:r>
        <w:t xml:space="preserve"> </w:t>
      </w:r>
      <w:r>
        <w:t xml:space="preserve">for California users.</w:t>
      </w:r>
    </w:p>
    <w:p>
      <w:pPr>
        <w:numPr>
          <w:ilvl w:val="0"/>
          <w:numId w:val="1004"/>
        </w:numPr>
        <w:pStyle w:val="Compact"/>
      </w:pPr>
      <w:r>
        <w:t xml:space="preserve">Transaction records shall be retained for</w:t>
      </w:r>
      <w:r>
        <w:t xml:space="preserve"> </w:t>
      </w:r>
      <w:r>
        <w:rPr>
          <w:bCs/>
          <w:b/>
        </w:rPr>
        <w:t xml:space="preserve">at least 7 years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Users shall be able to request a full data export from within the application; export shall be machine-readable.</w:t>
      </w:r>
    </w:p>
    <w:p>
      <w:pPr>
        <w:numPr>
          <w:ilvl w:val="0"/>
          <w:numId w:val="1004"/>
        </w:numPr>
        <w:pStyle w:val="Compact"/>
      </w:pPr>
      <w:r>
        <w:t xml:space="preserve">Email notifications cannot be disabled for security-related events (registration, KYC outcome, PIN reset, large transactions over USD 500, account suspension).</w:t>
      </w:r>
    </w:p>
    <w:bookmarkEnd w:id="24"/>
    <w:bookmarkStart w:id="25" w:name="performance-slas"/>
    <w:p>
      <w:pPr>
        <w:pStyle w:val="Heading2"/>
      </w:pPr>
      <w:r>
        <w:t xml:space="preserve">6. Performance SLAs</w:t>
      </w:r>
    </w:p>
    <w:p>
      <w:pPr>
        <w:numPr>
          <w:ilvl w:val="0"/>
          <w:numId w:val="1005"/>
        </w:numPr>
        <w:pStyle w:val="Compact"/>
      </w:pPr>
      <w:r>
        <w:t xml:space="preserve">95th-percentile API response time</w:t>
      </w:r>
      <w:r>
        <w:t xml:space="preserve"> </w:t>
      </w:r>
      <w:r>
        <w:rPr>
          <w:bCs/>
          <w:b/>
        </w:rPr>
        <w:t xml:space="preserve">under 800 ms</w:t>
      </w:r>
      <w:r>
        <w:t xml:space="preserve"> </w:t>
      </w:r>
      <w:r>
        <w:t xml:space="preserve">under normal load.</w:t>
      </w:r>
    </w:p>
    <w:p>
      <w:pPr>
        <w:numPr>
          <w:ilvl w:val="0"/>
          <w:numId w:val="1005"/>
        </w:numPr>
        <w:pStyle w:val="Compact"/>
      </w:pPr>
      <w:r>
        <w:t xml:space="preserve">System shall support</w:t>
      </w:r>
      <w:r>
        <w:t xml:space="preserve"> </w:t>
      </w:r>
      <w:r>
        <w:rPr>
          <w:bCs/>
          <w:b/>
        </w:rPr>
        <w:t xml:space="preserve">50,000 concurrent active sessions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Cold start time on baseline device shall not exceed</w:t>
      </w:r>
      <w:r>
        <w:t xml:space="preserve"> </w:t>
      </w:r>
      <w:r>
        <w:rPr>
          <w:bCs/>
          <w:b/>
        </w:rPr>
        <w:t xml:space="preserve">2.5 seconds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Uptime:</w:t>
      </w:r>
      <w:r>
        <w:t xml:space="preserve"> </w:t>
      </w:r>
      <w:r>
        <w:rPr>
          <w:bCs/>
          <w:b/>
        </w:rPr>
        <w:t xml:space="preserve">99.95%</w:t>
      </w:r>
      <w:r>
        <w:t xml:space="preserve"> </w:t>
      </w:r>
      <w:r>
        <w:t xml:space="preserve">excluding scheduled maintenance (≤ 4 hours per month, 72-hour advance notice).</w:t>
      </w:r>
    </w:p>
    <w:bookmarkEnd w:id="25"/>
    <w:bookmarkStart w:id="26" w:name="assumptions-constraints"/>
    <w:p>
      <w:pPr>
        <w:pStyle w:val="Heading2"/>
      </w:pPr>
      <w:r>
        <w:t xml:space="preserve">7. Assumptions &amp; Constraints</w:t>
      </w:r>
    </w:p>
    <w:p>
      <w:pPr>
        <w:numPr>
          <w:ilvl w:val="0"/>
          <w:numId w:val="1006"/>
        </w:numPr>
        <w:pStyle w:val="Compact"/>
      </w:pPr>
      <w:r>
        <w:t xml:space="preserve">No offline mode — all transaction operations require connectivity.</w:t>
      </w:r>
    </w:p>
    <w:p>
      <w:pPr>
        <w:numPr>
          <w:ilvl w:val="0"/>
          <w:numId w:val="1006"/>
        </w:numPr>
        <w:pStyle w:val="Compact"/>
      </w:pPr>
      <w:r>
        <w:t xml:space="preserve">Minimum 200 MB free device storage at install.</w:t>
      </w:r>
    </w:p>
    <w:p>
      <w:pPr>
        <w:numPr>
          <w:ilvl w:val="0"/>
          <w:numId w:val="1006"/>
        </w:numPr>
        <w:pStyle w:val="Compact"/>
      </w:pPr>
      <w:r>
        <w:t xml:space="preserve">Currency conversions shall use the live Core Banking API rate at transaction time. Cached rates shall not be used.</w:t>
      </w:r>
    </w:p>
    <w:p>
      <w:r>
        <w:pict>
          <v:rect style="width:0;height:1.5pt" o:hralign="center" o:hrstd="t" o:hr="t"/>
        </w:pict>
      </w:r>
    </w:p>
    <w:bookmarkEnd w:id="26"/>
    <w:bookmarkStart w:id="27" w:name="X0da4fa0c650f3b655103bb4123a5f29d20aed0e"/>
    <w:p>
      <w:pPr>
        <w:pStyle w:val="Heading2"/>
      </w:pPr>
      <w:r>
        <w:t xml:space="preserve">8. How to apply this chunk when generating test cases</w:t>
      </w:r>
    </w:p>
    <w:p>
      <w:pPr>
        <w:pStyle w:val="FirstParagraph"/>
      </w:pPr>
      <w:r>
        <w:t xml:space="preserve">For every user story, in addition to feature-level functional tests, consider generating: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Security tests</w:t>
      </w:r>
      <w:r>
        <w:t xml:space="preserve"> </w:t>
      </w:r>
      <w:r>
        <w:t xml:space="preserve">— TLS 1.3 verification on the relevant endpoint, AES-256 at rest where data is persisted, PCI DSS compliance markers (no PAN/CVV in logs), rate-limiting tests on sensitive endpoints.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Cross-section auth tests</w:t>
      </w:r>
      <w:r>
        <w:t xml:space="preserve"> </w:t>
      </w:r>
      <w:r>
        <w:t xml:space="preserve">— PIN-vs-biometric $500 threshold behaviour where money-moving is involved; session-validity gating where the feature lives behind login; SIM-change session termination tests for high-trust flows.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KYC-state interaction tests</w:t>
      </w:r>
      <w:r>
        <w:t xml:space="preserve"> </w:t>
      </w:r>
      <w:r>
        <w:t xml:space="preserve">— behaviour with pending KYC versus verified KYC where the feature has any limit, transaction, or eligibility check.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Compliance tests</w:t>
      </w:r>
      <w:r>
        <w:t xml:space="preserve"> </w:t>
      </w:r>
      <w:r>
        <w:t xml:space="preserve">— 7-year retention where transactional data is involved; GDPR/CCPA data-export coverage where the feature produces user-facing records.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Performance tests</w:t>
      </w:r>
      <w:r>
        <w:t xml:space="preserve"> </w:t>
      </w:r>
      <w:r>
        <w:t xml:space="preserve">— 95th-percentile response time; cold-start behaviour where the feature is on a critical user path.</w:t>
      </w:r>
    </w:p>
    <w:p>
      <w:pPr>
        <w:pStyle w:val="FirstParagraph"/>
      </w:pPr>
      <w:r>
        <w:t xml:space="preserve">Not every story will exercise every category; use judgement, but lean toward including these when the feature is security-relevant, money-moving, or generates persistent user data.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Sub-Document 07.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8CE2DAF96DB74AB724317CBCE7C3AB" ma:contentTypeVersion="14" ma:contentTypeDescription="Create a new document." ma:contentTypeScope="" ma:versionID="30a80f3200b4ca4d5ec20f8d017e6bd8">
  <xsd:schema xmlns:xsd="http://www.w3.org/2001/XMLSchema" xmlns:xs="http://www.w3.org/2001/XMLSchema" xmlns:p="http://schemas.microsoft.com/office/2006/metadata/properties" xmlns:ns2="44f33c92-e518-42e0-b273-fc06de4be945" xmlns:ns3="b6f91356-3cd6-4d0d-805e-ef60d26c393a" targetNamespace="http://schemas.microsoft.com/office/2006/metadata/properties" ma:root="true" ma:fieldsID="db9e33892725b30974ddc9b47d64ad76" ns2:_="" ns3:_="">
    <xsd:import namespace="44f33c92-e518-42e0-b273-fc06de4be945"/>
    <xsd:import namespace="b6f91356-3cd6-4d0d-805e-ef60d26c39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f33c92-e518-42e0-b273-fc06de4be9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f91356-3cd6-4d0d-805e-ef60d26c393a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237e6bf-3e39-4cdf-b4cb-745fab9b5bdc}" ma:internalName="TaxCatchAll" ma:showField="CatchAllData" ma:web="b6f91356-3cd6-4d0d-805e-ef60d26c39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4f33c92-e518-42e0-b273-fc06de4be945">
      <Terms xmlns="http://schemas.microsoft.com/office/infopath/2007/PartnerControls"/>
    </lcf76f155ced4ddcb4097134ff3c332f>
    <TaxCatchAll xmlns="b6f91356-3cd6-4d0d-805e-ef60d26c393a" xsi:nil="true"/>
  </documentManagement>
</p:properties>
</file>

<file path=customXml/itemProps1.xml><?xml version="1.0" encoding="utf-8"?>
<ds:datastoreItem xmlns:ds="http://schemas.openxmlformats.org/officeDocument/2006/customXml" ds:itemID="{5D157000-276F-42A0-8405-6F3D568C7A70}"/>
</file>

<file path=customXml/itemProps2.xml><?xml version="1.0" encoding="utf-8"?>
<ds:datastoreItem xmlns:ds="http://schemas.openxmlformats.org/officeDocument/2006/customXml" ds:itemID="{5D134B0E-6D31-43FA-B292-A05264D3C92D}"/>
</file>

<file path=customXml/itemProps3.xml><?xml version="1.0" encoding="utf-8"?>
<ds:datastoreItem xmlns:ds="http://schemas.openxmlformats.org/officeDocument/2006/customXml" ds:itemID="{A2FEF158-BA27-4EB0-B4F8-5A2DB1AC0D21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2026-05-19T05:26:33Z</dcterms:created>
  <dcterms:modified xsi:type="dcterms:W3CDTF">2026-05-19T05:26:33Z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0x0101009C8CE2DAF96DB74AB724317CBCE7C3AB</vt:lpwstr>
  </property>
</Properties>
</file>