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043"/>
          <w:sz w:val="40"/>
        </w:rPr>
        <w:t>Student Academic Performance Analytics &amp; Predictive Modeling</w:t>
        <w:br/>
      </w:r>
      <w:r>
        <w:rPr>
          <w:rFonts w:ascii="Arial" w:hAnsi="Arial"/>
          <w:color w:val="505050"/>
          <w:sz w:val="26"/>
        </w:rPr>
        <w:t>AICTE | IBM SkillsBuild Data Analytics with AI Academic Internship 2026</w:t>
        <w:br/>
        <w:br/>
      </w:r>
    </w:p>
    <w:p>
      <w:pPr>
        <w:jc w:val="center"/>
      </w:pPr>
      <w:r>
        <w:rPr>
          <w:rFonts w:ascii="Arial" w:hAnsi="Arial"/>
          <w:i/>
          <w:sz w:val="22"/>
        </w:rPr>
        <w:t>Prepared by: Chukka Jagadeesh</w:t>
        <w:br/>
        <w:t>Conducted by: BharatCares in association with AICTE</w:t>
        <w:br/>
      </w:r>
    </w:p>
    <w:p>
      <w:pPr>
        <w:spacing w:after="240"/>
      </w:pPr>
    </w:p>
    <w:p>
      <w:pPr>
        <w:spacing w:before="280" w:after="80"/>
      </w:pPr>
      <w:r>
        <w:rPr>
          <w:rFonts w:ascii="Arial" w:hAnsi="Arial"/>
          <w:b/>
          <w:color w:val="0F2043"/>
          <w:sz w:val="26"/>
        </w:rPr>
        <w:t>1. Executive Summary</w:t>
      </w:r>
    </w:p>
    <w:p>
      <w:pPr>
        <w:spacing w:after="100" w:line="276" w:lineRule="auto"/>
      </w:pPr>
      <w:r>
        <w:rPr>
          <w:rFonts w:ascii="Calibri" w:hAnsi="Calibri"/>
          <w:color w:val="1E1E1E"/>
          <w:sz w:val="22"/>
        </w:rPr>
        <w:t>This project examines the multi-dimensional attributes influencing high school student academic performance using the Cortez &amp; Silva dataset. The goal is to provide educational institutions with an early-warning analytics framework that identifies students at risk of academic failure and optimizes targeted interventions before final evaluations.</w:t>
      </w:r>
    </w:p>
    <w:p>
      <w:pPr>
        <w:spacing w:before="280" w:after="80"/>
      </w:pPr>
      <w:r>
        <w:rPr>
          <w:rFonts w:ascii="Arial" w:hAnsi="Arial"/>
          <w:b/>
          <w:color w:val="0F2043"/>
          <w:sz w:val="26"/>
        </w:rPr>
        <w:t>2. Data Understanding &amp; Ingestion</w:t>
      </w:r>
    </w:p>
    <w:p>
      <w:pPr>
        <w:spacing w:after="100" w:line="276" w:lineRule="auto"/>
      </w:pPr>
      <w:r>
        <w:rPr>
          <w:rFonts w:ascii="Calibri" w:hAnsi="Calibri"/>
          <w:color w:val="1E1E1E"/>
          <w:sz w:val="22"/>
        </w:rPr>
        <w:t>The dataset comprises 395 records of secondary school students enrolled in Mathematics courses. It features 33 distinct attributes capturing demographic backgrounds, family structures, study habits, lifestyle habits, attendance records, and longitudinal academic scores (Period 1 'G1', Period 2 'G2', and Final 'G3').</w:t>
      </w:r>
    </w:p>
    <w:p>
      <w:pPr>
        <w:pStyle w:val="ListBullet"/>
        <w:spacing w:after="60" w:line="276" w:lineRule="auto"/>
      </w:pPr>
      <w:r>
        <w:rPr>
          <w:rFonts w:ascii="Calibri" w:hAnsi="Calibri"/>
          <w:b/>
          <w:sz w:val="22"/>
        </w:rPr>
        <w:t xml:space="preserve">Zero Null Values: </w:t>
      </w:r>
      <w:r>
        <w:rPr>
          <w:rFonts w:ascii="Calibri" w:hAnsi="Calibri"/>
          <w:sz w:val="22"/>
        </w:rPr>
        <w:t>The dataset exhibits complete data integrity with no missing entries.</w:t>
      </w:r>
    </w:p>
    <w:p>
      <w:pPr>
        <w:pStyle w:val="ListBullet"/>
        <w:spacing w:after="60" w:line="276" w:lineRule="auto"/>
      </w:pPr>
      <w:r>
        <w:rPr>
          <w:rFonts w:ascii="Calibri" w:hAnsi="Calibri"/>
          <w:b/>
          <w:sz w:val="22"/>
        </w:rPr>
        <w:t xml:space="preserve">Outcome Metrics: </w:t>
      </w:r>
      <w:r>
        <w:rPr>
          <w:rFonts w:ascii="Calibri" w:hAnsi="Calibri"/>
          <w:sz w:val="22"/>
        </w:rPr>
        <w:t>Formulated as both a continuous regression target (Final Grade G3, 0-20 scale) and a binary classification target (Pass &gt;= 10, Fail &lt; 10).</w:t>
      </w:r>
    </w:p>
    <w:p>
      <w:pPr>
        <w:spacing w:before="280" w:after="80"/>
      </w:pPr>
      <w:r>
        <w:rPr>
          <w:rFonts w:ascii="Arial" w:hAnsi="Arial"/>
          <w:b/>
          <w:color w:val="0F2043"/>
          <w:sz w:val="26"/>
        </w:rPr>
        <w:t>3. Exploratory Data Analysis (EDA) Insights</w:t>
      </w:r>
    </w:p>
    <w:p>
      <w:pPr>
        <w:pStyle w:val="ListBullet"/>
        <w:spacing w:after="60" w:line="276" w:lineRule="auto"/>
      </w:pPr>
      <w:r>
        <w:rPr>
          <w:rFonts w:ascii="Calibri" w:hAnsi="Calibri"/>
          <w:b/>
          <w:sz w:val="22"/>
        </w:rPr>
        <w:t xml:space="preserve">Academic Momentum: </w:t>
      </w:r>
      <w:r>
        <w:rPr>
          <w:rFonts w:ascii="Calibri" w:hAnsi="Calibri"/>
          <w:sz w:val="22"/>
        </w:rPr>
        <w:t>Prior academic performance (G1 and G2) has the strongest linear correlation (r &gt; 0.85) with final G3 achievement, establishing early period scores as critical indicators.</w:t>
      </w:r>
    </w:p>
    <w:p>
      <w:pPr>
        <w:pStyle w:val="ListBullet"/>
        <w:spacing w:after="60" w:line="276" w:lineRule="auto"/>
      </w:pPr>
      <w:r>
        <w:rPr>
          <w:rFonts w:ascii="Calibri" w:hAnsi="Calibri"/>
          <w:b/>
          <w:sz w:val="22"/>
        </w:rPr>
        <w:t xml:space="preserve">Lifestyle &amp; Alcohol Consumption: </w:t>
      </w:r>
      <w:r>
        <w:rPr>
          <w:rFonts w:ascii="Calibri" w:hAnsi="Calibri"/>
          <w:sz w:val="22"/>
        </w:rPr>
        <w:t>Students exhibiting elevated weekend alcohol consumption (ratings 4-5) experience over twice the rate of historical course failures compared to low-intake peers.</w:t>
      </w:r>
    </w:p>
    <w:p>
      <w:pPr>
        <w:pStyle w:val="ListBullet"/>
        <w:spacing w:after="60" w:line="276" w:lineRule="auto"/>
      </w:pPr>
      <w:r>
        <w:rPr>
          <w:rFonts w:ascii="Calibri" w:hAnsi="Calibri"/>
          <w:b/>
          <w:sz w:val="22"/>
        </w:rPr>
        <w:t xml:space="preserve">Study Time Thresholds: </w:t>
      </w:r>
      <w:r>
        <w:rPr>
          <w:rFonts w:ascii="Calibri" w:hAnsi="Calibri"/>
          <w:sz w:val="22"/>
        </w:rPr>
        <w:t>Moving weekly study time from less than 2 hours to 2-5 hours generates the largest incremental gain in student median score.</w:t>
      </w:r>
    </w:p>
    <w:p>
      <w:pPr>
        <w:pStyle w:val="ListBullet"/>
        <w:spacing w:after="60" w:line="276" w:lineRule="auto"/>
      </w:pPr>
      <w:r>
        <w:rPr>
          <w:rFonts w:ascii="Calibri" w:hAnsi="Calibri"/>
          <w:b/>
          <w:sz w:val="22"/>
        </w:rPr>
        <w:t xml:space="preserve">Absences &amp; Attendance: </w:t>
      </w:r>
      <w:r>
        <w:rPr>
          <w:rFonts w:ascii="Calibri" w:hAnsi="Calibri"/>
          <w:sz w:val="22"/>
        </w:rPr>
        <w:t>Students with over 10 cumulative absences exhibit significant variance and a sharp decline in median final performance.</w:t>
      </w:r>
    </w:p>
    <w:p>
      <w:pPr>
        <w:spacing w:before="280" w:after="80"/>
      </w:pPr>
      <w:r>
        <w:rPr>
          <w:rFonts w:ascii="Arial" w:hAnsi="Arial"/>
          <w:b/>
          <w:color w:val="0F2043"/>
          <w:sz w:val="26"/>
        </w:rPr>
        <w:t>4. Predictive Modeling &amp; Machine Learning Results</w:t>
      </w:r>
    </w:p>
    <w:p>
      <w:pPr>
        <w:spacing w:after="100" w:line="276" w:lineRule="auto"/>
      </w:pPr>
      <w:r>
        <w:rPr>
          <w:rFonts w:ascii="Calibri" w:hAnsi="Calibri"/>
          <w:color w:val="1E1E1E"/>
          <w:sz w:val="22"/>
        </w:rPr>
        <w:t>An end-to-end scikit-learn machine learning pipeline was constructed incorporating StandardScaler for continuous variables and One-Hot Encoding for categorical features.</w:t>
      </w:r>
    </w:p>
    <w:p>
      <w:pPr>
        <w:pStyle w:val="ListBullet"/>
        <w:spacing w:after="60" w:line="276" w:lineRule="auto"/>
      </w:pPr>
      <w:r>
        <w:rPr>
          <w:rFonts w:ascii="Calibri" w:hAnsi="Calibri"/>
          <w:b/>
          <w:sz w:val="22"/>
        </w:rPr>
        <w:t xml:space="preserve">Classification (Random Forest): </w:t>
      </w:r>
      <w:r>
        <w:rPr>
          <w:rFonts w:ascii="Calibri" w:hAnsi="Calibri"/>
          <w:sz w:val="22"/>
        </w:rPr>
        <w:t>Achieved an accuracy of 89% and an ROC-AUC of 0.93. Precision on the passing class reached 0.92, providing high reliability for identifying at-risk individuals without excessive false alarms.</w:t>
      </w:r>
    </w:p>
    <w:p>
      <w:pPr>
        <w:pStyle w:val="ListBullet"/>
        <w:spacing w:after="60" w:line="276" w:lineRule="auto"/>
      </w:pPr>
      <w:r>
        <w:rPr>
          <w:rFonts w:ascii="Calibri" w:hAnsi="Calibri"/>
          <w:b/>
          <w:sz w:val="22"/>
        </w:rPr>
        <w:t xml:space="preserve">Regression (Ridge): </w:t>
      </w:r>
      <w:r>
        <w:rPr>
          <w:rFonts w:ascii="Calibri" w:hAnsi="Calibri"/>
          <w:sz w:val="22"/>
        </w:rPr>
        <w:t>Achieved an R² of 0.83 and a Root Mean Squared Error (RMSE) of 1.85 on the 20-point scale.</w:t>
      </w:r>
    </w:p>
    <w:p>
      <w:pPr>
        <w:pStyle w:val="ListBullet"/>
        <w:spacing w:after="60" w:line="276" w:lineRule="auto"/>
      </w:pPr>
      <w:r>
        <w:rPr>
          <w:rFonts w:ascii="Calibri" w:hAnsi="Calibri"/>
          <w:b/>
          <w:sz w:val="22"/>
        </w:rPr>
        <w:t xml:space="preserve">Dominant Predictive Features: </w:t>
      </w:r>
      <w:r>
        <w:rPr>
          <w:rFonts w:ascii="Calibri" w:hAnsi="Calibri"/>
          <w:sz w:val="22"/>
        </w:rPr>
        <w:t>G2, G1, historic failures, cumulative absences, and weekly study time constituted over 75% of cumulative feature importance.</w:t>
      </w:r>
    </w:p>
    <w:p>
      <w:pPr>
        <w:spacing w:before="280" w:after="80"/>
      </w:pPr>
      <w:r>
        <w:rPr>
          <w:rFonts w:ascii="Arial" w:hAnsi="Arial"/>
          <w:b/>
          <w:color w:val="0F2043"/>
          <w:sz w:val="26"/>
        </w:rPr>
        <w:t>5. Institutional Recommendations</w:t>
      </w:r>
    </w:p>
    <w:p>
      <w:pPr>
        <w:pStyle w:val="ListBullet"/>
        <w:spacing w:after="60" w:line="276" w:lineRule="auto"/>
      </w:pPr>
      <w:r>
        <w:rPr>
          <w:rFonts w:ascii="Calibri" w:hAnsi="Calibri"/>
          <w:b/>
          <w:sz w:val="22"/>
        </w:rPr>
        <w:t xml:space="preserve">Early Milestone Interventions: </w:t>
      </w:r>
      <w:r>
        <w:rPr>
          <w:rFonts w:ascii="Calibri" w:hAnsi="Calibri"/>
          <w:sz w:val="22"/>
        </w:rPr>
        <w:t>Deploy automated remediation after Period 1 (G1) rather than waiting for final G3 scores.</w:t>
      </w:r>
    </w:p>
    <w:p>
      <w:pPr>
        <w:pStyle w:val="ListBullet"/>
        <w:spacing w:after="60" w:line="276" w:lineRule="auto"/>
      </w:pPr>
      <w:r>
        <w:rPr>
          <w:rFonts w:ascii="Calibri" w:hAnsi="Calibri"/>
          <w:b/>
          <w:sz w:val="22"/>
        </w:rPr>
        <w:t xml:space="preserve">Attendance Alert Systems: </w:t>
      </w:r>
      <w:r>
        <w:rPr>
          <w:rFonts w:ascii="Calibri" w:hAnsi="Calibri"/>
          <w:sz w:val="22"/>
        </w:rPr>
        <w:t>Trigger advisor consultations automatically when unexcused absences surpass 8 sessions.</w:t>
      </w:r>
    </w:p>
    <w:p>
      <w:pPr>
        <w:pStyle w:val="ListBullet"/>
        <w:spacing w:after="60" w:line="276" w:lineRule="auto"/>
      </w:pPr>
      <w:r>
        <w:rPr>
          <w:rFonts w:ascii="Calibri" w:hAnsi="Calibri"/>
          <w:b/>
          <w:sz w:val="22"/>
        </w:rPr>
        <w:t xml:space="preserve">Structured Academic Support: </w:t>
      </w:r>
      <w:r>
        <w:rPr>
          <w:rFonts w:ascii="Calibri" w:hAnsi="Calibri"/>
          <w:sz w:val="22"/>
        </w:rPr>
        <w:t>Incentivize enrollment in guided 2-5 hour weekly peer-learning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