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开放平台商家手册"/>
    <w:p>
      <w:pPr>
        <w:pStyle w:val="Heading1"/>
      </w:pPr>
      <w:r>
        <w:rPr>
          <w:rFonts w:hint="eastAsia"/>
        </w:rPr>
        <w:t xml:space="preserve">开放平台商家手册</w:t>
      </w:r>
    </w:p>
    <w:bookmarkStart w:id="23" w:name="第1章-入驻须知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入驻须知</w:t>
      </w:r>
    </w:p>
    <w:bookmarkStart w:id="20" w:name="店铺类型"/>
    <w:p>
      <w:pPr>
        <w:pStyle w:val="Heading3"/>
      </w:pPr>
      <w:r>
        <w:t xml:space="preserve">1.1 </w:t>
      </w:r>
      <w:r>
        <w:rPr>
          <w:rFonts w:hint="eastAsia"/>
        </w:rPr>
        <w:t xml:space="preserve">店铺类型</w:t>
      </w:r>
    </w:p>
    <w:p>
      <w:pPr>
        <w:pStyle w:val="FirstParagraph"/>
      </w:pPr>
      <w:r>
        <w:rPr>
          <w:rFonts w:hint="eastAsia"/>
        </w:rPr>
        <w:t xml:space="preserve">平台支持企业店与个体店两类主体入驻，企业店需提供营业执照与对公账户，个体店可用经营者本人账户结算。</w:t>
      </w:r>
    </w:p>
    <w:bookmarkEnd w:id="20"/>
    <w:bookmarkStart w:id="21" w:name="审核时效"/>
    <w:p>
      <w:pPr>
        <w:pStyle w:val="Heading3"/>
      </w:pPr>
      <w:r>
        <w:t xml:space="preserve">1.2 </w:t>
      </w:r>
      <w:r>
        <w:rPr>
          <w:rFonts w:hint="eastAsia"/>
        </w:rPr>
        <w:t xml:space="preserve">审核时效</w:t>
      </w:r>
    </w:p>
    <w:p>
      <w:pPr>
        <w:pStyle w:val="FirstParagraph"/>
      </w:pPr>
      <w:r>
        <w:rPr>
          <w:rFonts w:hint="eastAsia"/>
        </w:rPr>
        <w:t xml:space="preserve">资质提交后的审核时效为</w:t>
      </w:r>
      <w:r>
        <w:t xml:space="preserve"> 3 </w:t>
      </w:r>
      <w:r>
        <w:rPr>
          <w:rFonts w:hint="eastAsia"/>
        </w:rPr>
        <w:t xml:space="preserve">个工作日。审核期内可撤回并修改资料，审核通过后店铺类型不可变更，变更需重新入驻。</w:t>
      </w:r>
    </w:p>
    <w:bookmarkEnd w:id="21"/>
    <w:bookmarkStart w:id="22" w:name="物流承运"/>
    <w:p>
      <w:pPr>
        <w:pStyle w:val="Heading3"/>
      </w:pPr>
      <w:r>
        <w:t xml:space="preserve">1.3 </w:t>
      </w:r>
      <w:r>
        <w:rPr>
          <w:rFonts w:hint="eastAsia"/>
        </w:rPr>
        <w:t xml:space="preserve">物流承运</w:t>
      </w:r>
    </w:p>
    <w:p>
      <w:pPr>
        <w:pStyle w:val="FirstParagraph"/>
      </w:pPr>
      <w:r>
        <w:rPr>
          <w:rFonts w:hint="eastAsia"/>
        </w:rPr>
        <w:t xml:space="preserve">跨省订单默认由平台自营物流「云仓</w:t>
      </w:r>
      <w:r>
        <w:t xml:space="preserve"> </w:t>
      </w:r>
      <w:r>
        <w:rPr>
          <w:rFonts w:hint="eastAsia"/>
        </w:rPr>
        <w:t xml:space="preserve">速配」承运，商家也可在后台切换为自有物流。</w:t>
      </w:r>
    </w:p>
    <w:p>
      <w:pPr>
        <w:pStyle w:val="BodyText"/>
      </w:pPr>
      <w:r>
        <w:rPr>
          <w:rFonts w:hint="eastAsia"/>
        </w:rPr>
        <w:t xml:space="preserve">运费规则可参阅开放平台文档</w:t>
      </w:r>
      <w:r>
        <w:t xml:space="preserve"> https://developer.example.com/logistics/</w:t>
      </w:r>
      <w:r>
        <w:t xml:space="preserve"> </w:t>
      </w:r>
      <w:r>
        <w:t xml:space="preserve">pricing/v3 </w:t>
      </w:r>
      <w:r>
        <w:rPr>
          <w:rFonts w:hint="eastAsia"/>
        </w:rPr>
        <w:t xml:space="preserve">页面，或在工单系统提交咨询。</w:t>
      </w:r>
    </w:p>
    <w:bookmarkEnd w:id="22"/>
    <w:bookmarkEnd w:id="23"/>
    <w:bookmarkStart w:id="24" w:name="第2章-类目佣金费率表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类目佣金费率表</w:t>
      </w:r>
    </w:p>
    <w:p>
      <w:pPr>
        <w:pStyle w:val="FirstParagraph"/>
      </w:pPr>
      <w:r>
        <w:rPr>
          <w:rFonts w:hint="eastAsia"/>
        </w:rPr>
        <w:t xml:space="preserve">佣金率随一级类目与店铺等级变化，下表为企业店的基准费率，保证金单位为元。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一级类目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基准佣金率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金牌店铺佣金率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手机数码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  <w:tc>
          <w:tcPr/>
          <w:p>
            <w:pPr>
              <w:pStyle w:val="Compact"/>
            </w:pPr>
            <w: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T+7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家用电器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T+7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电脑办公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  <w:tc>
          <w:tcPr/>
          <w:p>
            <w:pPr>
              <w:pStyle w:val="Compact"/>
            </w:pPr>
            <w: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T+7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服饰内衣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T+3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鞋靴箱包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T+3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美妆护肤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T+7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母婴玩具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T+7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食品生鲜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T+15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家居家装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T+7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运动户外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T+3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图书文娱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T+3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汽车用品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T+7</w:t>
            </w:r>
          </w:p>
        </w:tc>
      </w:tr>
    </w:tbl>
    <w:bookmarkEnd w:id="24"/>
    <w:bookmarkStart w:id="28" w:name="第3章-退货退款流转路径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退货退款流转路径</w:t>
      </w:r>
    </w:p>
    <w:p>
      <w:pPr>
        <w:pStyle w:val="FirstParagraph"/>
      </w:pPr>
      <w:r>
        <w:rPr>
          <w:rFonts w:hint="eastAsia"/>
        </w:rPr>
        <w:t xml:space="preserve">下图给出了从买家发起退款到款项到账的完整流转路径，其中蓝色节点由买家操作，灰色节点由商家或平台操作。</w:t>
      </w:r>
    </w:p>
    <w:p>
      <w:pPr>
        <w:pStyle w:val="CaptionedFigure"/>
      </w:pPr>
      <w:r>
        <w:drawing>
          <wp:inline>
            <wp:extent cx="5334000" cy="1509622"/>
            <wp:effectExtent b="0" l="0" r="0" t="0"/>
            <wp:docPr descr="退货退款流转路径" title="" id="26" name="Picture"/>
            <a:graphic>
              <a:graphicData uri="http://schemas.openxmlformats.org/drawingml/2006/picture">
                <pic:pic>
                  <pic:nvPicPr>
                    <pic:cNvPr descr="images/refund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退货退款流转路径</w:t>
      </w:r>
    </w:p>
    <w:bookmarkEnd w:id="28"/>
    <w:bookmarkStart w:id="29" w:name="第4章-对接示例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对接示例</w:t>
      </w:r>
    </w:p>
    <w:p>
      <w:pPr>
        <w:pStyle w:val="FirstParagraph"/>
      </w:pPr>
      <w:r>
        <w:rPr>
          <w:rFonts w:hint="eastAsia"/>
        </w:rPr>
        <w:t xml:space="preserve">调用订单查询接口需要先用</w:t>
      </w:r>
      <w:r>
        <w:t xml:space="preserve"> appKey </w:t>
      </w:r>
      <w:r>
        <w:rPr>
          <w:rFonts w:hint="eastAsia"/>
        </w:rPr>
        <w:t xml:space="preserve">与</w:t>
      </w:r>
      <w:r>
        <w:t xml:space="preserve"> appSecret </w:t>
      </w:r>
      <w:r>
        <w:rPr>
          <w:rFonts w:hint="eastAsia"/>
        </w:rPr>
        <w:t xml:space="preserve">换取访问令牌，下面是一段完整的调用示例。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OrderQueryClient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"https://api.example.com/v3/order/query"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HttpClient httpClient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OrderQueryClient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 httpClient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OrderQueryResponse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OrderQueryRequest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HttpRequest httpRequest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BodyPublishers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HttpResponse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"订单查询接口返回异常状态码: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OrderQueryResponse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第5章-售后举证材料清单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售后举证材料清单</w:t>
      </w:r>
    </w:p>
    <w:p>
      <w:pPr>
        <w:pStyle w:val="FirstParagraph"/>
      </w:pPr>
      <w:r>
        <w:rPr>
          <w:rFonts w:hint="eastAsia"/>
        </w:rPr>
        <w:t xml:space="preserve">发起售后申诉时需要按顺序上传以下材料，材料不齐会被驳回补正。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售后申诉说明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订单详情页截图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商品实物正面照片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商品实物细节照片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商品外包装照片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快递面单照片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开箱视频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商品重量称重照片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与买家的聊天记录截图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平台质检报告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第三方检测机构报告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发货底单照片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承运商签收记录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承运商破损证明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退回商品到仓照片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退款流水截图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补发商品发货记录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店铺客服工单编号</w:t>
      </w:r>
    </w:p>
    <w:bookmarkEnd w:id="30"/>
    <w:bookmarkStart w:id="31" w:name="第6章-平台不予受理的情形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平台不予受理的情形</w:t>
      </w:r>
    </w:p>
    <w:p>
      <w:pPr>
        <w:pStyle w:val="FirstParagraph"/>
      </w:pPr>
      <w:r>
        <w:rPr>
          <w:rFonts w:hint="eastAsia"/>
        </w:rPr>
        <w:t xml:space="preserve">以下情形平台不予受理商家的售后申诉，发起前请务必逐条确认。</w:t>
      </w:r>
    </w:p>
    <w:p>
      <w:pPr>
        <w:pStyle w:val="BodyText"/>
      </w:pPr>
      <w:r>
        <w:rPr>
          <w:rFonts w:hint="eastAsia"/>
        </w:rPr>
        <w:t xml:space="preserve">买家发起退款后商家超过</w:t>
      </w:r>
      <w:r>
        <w:t xml:space="preserve"> 48 </w:t>
      </w:r>
      <w:r>
        <w:rPr>
          <w:rFonts w:hint="eastAsia"/>
        </w:rPr>
        <w:t xml:space="preserve">小时未处理，系统已按超时规则自动退款的，平台不再受理申诉。商家提交的举证材料无法证明商品出库时完好的，平台不予受理。开箱视频缺失、快递面单被遮挡、商品序列号与订单不符，均属举证材料不完备。商家要求撤销已生效的退款结论，却无法提供买家书面确认记录的，平台不予受理。同一订单重复发起内容相同的申诉且未补充新证据的，平台仅受理首次申诉。第三方检测报告未加盖检测机构公章的，平台不予受理。检测报告出具日期晚于退款结论生效日期的，同样不予受理。商家未按承诺时效发货导致买家取消订单的，损失由商家自行承担。商品不符合国家强制性标准或缺少法定资质文件的，平台按规则另行处理。买家收货地址填写错误导致包裹丢失的，赔付结论以承运商核定为准。商家已按平台指引发起承运商理赔的，平台不再受理二次申诉。店铺处于清退流程中或保证金余额不足的，申诉入口将被暂时关闭。申诉发起时间距订单完成已超过</w:t>
      </w:r>
      <w:r>
        <w:t xml:space="preserve"> 90 </w:t>
      </w:r>
      <w:r>
        <w:rPr>
          <w:rFonts w:hint="eastAsia"/>
        </w:rPr>
        <w:t xml:space="preserve">天的，超出举证有效期，平台不予受理。商家账号存在批量刷单、虚假发货等违规记录的，平台可直接驳回申诉。涉及第三方物流破损且已获得承运商赔付的，不得再向平台重复索赔。因商家自行修改商品价格或库存导致的订单异常，平台不予受理。举证材料中出现涂改、拼接或与原始订单无关截图的，平台不予受理。买家在收货前已申请仅退款且商家已同意的，商家不得事后主张商品损失。商家未在后台维护有效联系人手机号，导致平台无法送达通知的，视为放弃申诉。商家以商品为定制款为由拒绝退货，但商品详情页未标注定制属性的，平台不予受理。商家自行与买家约定线下补偿并已履行的，不得再向平台申请同笔损失的补偿。同一店铺月度申诉驳回率连续两个月高于</w:t>
      </w:r>
      <w:r>
        <w:t xml:space="preserve"> 80% </w:t>
      </w:r>
      <w:r>
        <w:rPr>
          <w:rFonts w:hint="eastAsia"/>
        </w:rPr>
        <w:t xml:space="preserve">的，平台可暂停该店铺的申诉权限。以上情形若有争议，商家可在结论下发后</w:t>
      </w:r>
      <w:r>
        <w:t xml:space="preserve"> 7 </w:t>
      </w:r>
      <w:r>
        <w:rPr>
          <w:rFonts w:hint="eastAsia"/>
        </w:rPr>
        <w:t xml:space="preserve">日内提交一次复核申请，复核结论为最终结论。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2026-07-31T10:20:33Z</dcterms:created>
  <dcterms:modified xsi:type="dcterms:W3CDTF">2026-07-31T10:20:33Z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