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19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  <w:spacing w:after="160" w:line="276" w:lineRule="auto"/>
        <w:jc w:val="left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2310"/>
        <w:gridCol w:w="26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login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(username/password)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returned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 user profile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Change 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Min 8 chars; confirm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Remember-me (local vs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session storage)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Failed-attempt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lockout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Role-based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guards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Summary counts (customers,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accounts, employees)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Today’s transaction 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Hardcoded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until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/ paginate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View customer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first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Soft/hard 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 only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DELETE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additional accounts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(policy-aware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deposit);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9"/>
        <w:gridCol w:w="1952"/>
        <w:gridCol w:w="28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Policy-validated 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search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/app/accounts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accounts by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present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(post-open)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Credits balances only;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Withdraw / 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ledger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policies (create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 active)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INR policies;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LOAN seed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(Current)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/account-policies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create /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assignment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include unused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TELLER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AUDITOR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 master data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string (often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0001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 product / EMI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collateral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affordance;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not a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 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entity/API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placeholder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6"/>
    <w:bookmarkStart w:id="17" w:name="audit"/>
    <w:p>
      <w:pPr>
        <w:pStyle w:val="Heading2"/>
      </w:pPr>
      <w:r>
        <w:t xml:space="preserve">9. Audit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created/updated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some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event API /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7"/>
    <w:bookmarkStart w:id="18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Behavior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HMAC, 1h expiry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AuthZ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matchers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localhost, bankone.local,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SQL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(dev-oriented)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Deploy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 WAR primary path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2026-07-23T10:34:22Z</dcterms:created>
  <dcterms:modified xsi:type="dcterms:W3CDTF">2026-07-23T10:34:22Z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