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2" w:name="architecture"/>
    <w:p>
      <w:pPr>
        <w:pStyle w:val="Heading1"/>
      </w:pPr>
      <w:r>
        <w:t xml:space="preserve">Architecture</w:t>
      </w:r>
    </w:p>
    <w:bookmarkStart w:id="12" w:name="overview"/>
    <w:p>
      <w:pPr>
        <w:pStyle w:val="Heading2"/>
      </w:pPr>
      <w:r>
        <w:t xml:space="preserve">Overview</w:t>
      </w:r>
    </w:p>
    <w:p>
      <w:pPr>
        <w:pStyle w:val="FirstParagraph"/>
        <w:spacing w:after="160" w:line="276" w:lineRule="auto"/>
        <w:jc w:val="left"/>
      </w:pPr>
      <w:r>
        <w:t xml:space="preserve">BankOne is a</w:t>
      </w:r>
      <w:r>
        <w:t xml:space="preserve"> </w:t>
      </w:r>
      <w:r>
        <w:rPr>
          <w:b/>
          <w:bCs/>
        </w:rPr>
        <w:t xml:space="preserve">staff + customer-portal</w:t>
      </w:r>
      <w:r>
        <w:t xml:space="preserve"> </w:t>
      </w:r>
      <w:r>
        <w:t xml:space="preserve">core banking shell.</w:t>
      </w:r>
    </w:p>
    <w:p>
      <w:pPr>
        <w:pStyle w:val="BodyText"/>
      </w:pPr>
      <w:r>
        <w:t xml:space="preserve">Backend code lives in</w:t>
      </w:r>
      <w:r>
        <w:t xml:space="preserve"> </w:t>
      </w:r>
      <w:r>
        <w:rPr>
          <w:rStyle w:val="VerbatimChar"/>
          <w:b/>
          <w:bCs/>
        </w:rPr>
        <w:t xml:space="preserve">BankOne-BackEnd/</w:t>
      </w:r>
      <w:r>
        <w:t xml:space="preserve"> </w:t>
      </w:r>
      <w:r>
        <w:t xml:space="preserve">(Maven); UI in</w:t>
      </w:r>
      <w:r>
        <w:t xml:space="preserve"> </w:t>
      </w:r>
      <w:r>
        <w:rPr>
          <w:rStyle w:val="VerbatimChar"/>
          <w:b/>
          <w:bCs/>
        </w:rPr>
        <w:t xml:space="preserve">BankOne-Frontend/</w:t>
      </w:r>
      <w:r>
        <w:t xml:space="preserve">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 (staff</w:t>
      </w:r>
      <w:r>
        <w:t xml:space="preserve"> </w:t>
      </w:r>
      <w:r>
        <w:rPr>
          <w:rStyle w:val="VerbatimChar"/>
        </w:rPr>
        <w:t xml:space="preserve">/app/*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/portal/*</w:t>
      </w:r>
      <w:r>
        <w:t xml:space="preserve">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 </w:t>
      </w:r>
      <w:r>
        <w:t xml:space="preserve">writes; optional</w:t>
      </w:r>
      <w:r>
        <w:t xml:space="preserve"> </w:t>
      </w:r>
      <w:r>
        <w:rPr>
          <w:rStyle w:val="VerbatimChar"/>
        </w:rPr>
        <w:t xml:space="preserve">bankone_read</w:t>
      </w:r>
      <w:r>
        <w:t xml:space="preserve"> </w:t>
      </w:r>
      <w:r>
        <w:t xml:space="preserve">for local read-replica lab)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Redis (local):</w:t>
      </w:r>
      <w:r>
        <w:t xml:space="preserve"> </w:t>
      </w:r>
      <w:r>
        <w:t xml:space="preserve">cache-aside for hot reads + Bucket4j rate-limit</w:t>
      </w:r>
      <w:r>
        <w:t xml:space="preserve"> </w:t>
      </w:r>
      <w:r>
        <w:t xml:space="preserve">buckets — see</w:t>
      </w:r>
      <w:r>
        <w:t xml:space="preserve"> </w:t>
      </w:r>
      <w:hyperlink r:id="rId9">
        <w:r>
          <w:rPr>
            <w:rStyle w:val="Hyperlink"/>
          </w:rPr>
          <w:t xml:space="preserve">MODULES/Caching.md</w:t>
        </w:r>
      </w:hyperlink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Notifications (implemented):</w:t>
      </w:r>
      <w:r>
        <w:t xml:space="preserve"> </w:t>
      </w:r>
      <w:r>
        <w:t xml:space="preserve">Kafka topic</w:t>
      </w:r>
      <w:r>
        <w:t xml:space="preserve"> </w:t>
      </w:r>
      <w:r>
        <w:rPr>
          <w:rStyle w:val="VerbatimChar"/>
        </w:rPr>
        <w:t xml:space="preserve">bankone.notifications</w:t>
      </w:r>
      <w:r>
        <w:t xml:space="preserve"> </w:t>
      </w:r>
      <w:r>
        <w:t xml:space="preserve">→</w:t>
      </w:r>
      <w:r>
        <w:t xml:space="preserve"> </w:t>
      </w:r>
      <w:r>
        <w:t xml:space="preserve">email (Mailpit locally, SendGrid HTTPS on Render)</w:t>
      </w:r>
    </w:p>
    <w:p>
      <w:pPr>
        <w:pStyle w:val="FirstParagraph"/>
        <w:spacing w:after="160" w:line="276" w:lineRule="auto"/>
        <w:jc w:val="left"/>
      </w:pPr>
      <w:r>
        <w:t xml:space="preserve">Full technology and version inventory:</w:t>
      </w:r>
      <w:r>
        <w:t xml:space="preserve"> </w:t>
      </w:r>
      <w:hyperlink r:id="rId10">
        <w:r>
          <w:rPr>
            <w:rStyle w:val="Hyperlink"/>
          </w:rPr>
          <w:t xml:space="preserve">TECH_STACK.md</w:t>
        </w:r>
      </w:hyperlink>
      <w:r>
        <w:t xml:space="preserve">.</w:t>
      </w:r>
    </w:p>
    <w:p>
      <w:pPr>
        <w:pStyle w:val="BodyText"/>
      </w:pPr>
      <w:r>
        <w:t xml:space="preserve">Learning / platform roadmap (rate limit, cache, outbox, sharding lab):</w:t>
      </w:r>
      <w:r>
        <w:t xml:space="preserve"> </w:t>
      </w:r>
      <w:hyperlink r:id="rId11">
        <w:r>
          <w:rPr>
            <w:rStyle w:val="Hyperlink"/>
          </w:rPr>
          <w:t xml:space="preserve">TECH_LEARNING_PLAN.md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--&gt;|cache-aside| Redis[(Redis :6379)]</w:t>
      </w:r>
      <w:r>
        <w:br/>
      </w:r>
      <w:r>
        <w:rPr>
          <w:rStyle w:val="VerbatimChar"/>
        </w:rPr>
        <w:t xml:space="preserve">  API --&gt;|writes| PG[(PostgreSQL bankone)]</w:t>
      </w:r>
      <w:r>
        <w:br/>
      </w:r>
      <w:r>
        <w:rPr>
          <w:rStyle w:val="VerbatimChar"/>
        </w:rPr>
        <w:t xml:space="preserve">  API --&gt;|reads when replica on| PGR[(bankone_read)]</w:t>
      </w:r>
      <w:r>
        <w:br/>
      </w:r>
      <w:r>
        <w:rPr>
          <w:rStyle w:val="VerbatimChar"/>
        </w:rPr>
        <w:t xml:space="preserve">  API --&gt;|publish BankActionEvent| Kafka[Kafka]</w:t>
      </w:r>
      <w:r>
        <w:br/>
      </w:r>
      <w:r>
        <w:rPr>
          <w:rStyle w:val="VerbatimChar"/>
        </w:rPr>
        <w:t xml:space="preserve">  Kafka --&gt; Consumer[NotificationConsumer]</w:t>
      </w:r>
      <w:r>
        <w:br/>
      </w:r>
      <w:r>
        <w:rPr>
          <w:rStyle w:val="VerbatimChar"/>
        </w:rPr>
        <w:t xml:space="preserve">  Consumer --&gt; Mail[Mailpit or SendGrid]</w:t>
      </w:r>
    </w:p>
    <w:bookmarkEnd w:id="12"/>
    <w:bookmarkStart w:id="13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transaction[transaction]</w:t>
      </w:r>
      <w:r>
        <w:br/>
      </w:r>
      <w:r>
        <w:rPr>
          <w:rStyle w:val="VerbatimChar"/>
        </w:rPr>
        <w:t xml:space="preserve">    notification[notification]</w:t>
      </w:r>
      <w:r>
        <w:br/>
      </w:r>
      <w:r>
        <w:rPr>
          <w:rStyle w:val="VerbatimChar"/>
        </w:rPr>
        <w:t xml:space="preserve">    portal[portal]</w:t>
      </w:r>
      <w:r>
        <w:br/>
      </w:r>
      <w:r>
        <w:rPr>
          <w:rStyle w:val="VerbatimChar"/>
        </w:rPr>
        <w:t xml:space="preserve">    beneficiary[beneficiary]</w:t>
      </w:r>
      <w:r>
        <w:br/>
      </w:r>
      <w:r>
        <w:rPr>
          <w:rStyle w:val="VerbatimChar"/>
        </w:rPr>
        <w:t xml:space="preserve">    transfer[transfer]</w:t>
      </w:r>
      <w:r>
        <w:br/>
      </w:r>
      <w:r>
        <w:rPr>
          <w:rStyle w:val="VerbatimChar"/>
        </w:rPr>
        <w:t xml:space="preserve">    audit[audit]</w:t>
      </w:r>
      <w:r>
        <w:br/>
      </w:r>
      <w:r>
        <w:rPr>
          <w:rStyle w:val="VerbatimChar"/>
        </w:rPr>
        <w:t xml:space="preserve">    report[report]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cache[cache]</w:t>
      </w:r>
      <w:r>
        <w:br/>
      </w:r>
      <w:r>
        <w:rPr>
          <w:rStyle w:val="VerbatimChar"/>
        </w:rPr>
        <w:t xml:space="preserve">    ratelimit[ratelimit]</w:t>
      </w:r>
      <w:r>
        <w:br/>
      </w:r>
      <w:r>
        <w:rPr>
          <w:rStyle w:val="VerbatimChar"/>
        </w:rPr>
        <w:t xml:space="preserve">    replica[replica]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audit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customer --&gt; cache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transaction</w:t>
      </w:r>
      <w:r>
        <w:br/>
      </w:r>
      <w:r>
        <w:rPr>
          <w:rStyle w:val="VerbatimChar"/>
        </w:rPr>
        <w:t xml:space="preserve">  account --&gt; notification</w:t>
      </w:r>
      <w:r>
        <w:br/>
      </w:r>
      <w:r>
        <w:rPr>
          <w:rStyle w:val="VerbatimChar"/>
        </w:rPr>
        <w:t xml:space="preserve">  account --&gt; audit</w:t>
      </w:r>
      <w:r>
        <w:br/>
      </w:r>
      <w:r>
        <w:rPr>
          <w:rStyle w:val="VerbatimChar"/>
        </w:rPr>
        <w:t xml:space="preserve">  account --&gt; cache</w:t>
      </w:r>
      <w:r>
        <w:br/>
      </w:r>
      <w:r>
        <w:rPr>
          <w:rStyle w:val="VerbatimChar"/>
        </w:rPr>
        <w:t xml:space="preserve">  portal --&gt; account</w:t>
      </w:r>
      <w:r>
        <w:br/>
      </w:r>
      <w:r>
        <w:rPr>
          <w:rStyle w:val="VerbatimChar"/>
        </w:rPr>
        <w:t xml:space="preserve">  portal --&gt; beneficiary</w:t>
      </w:r>
      <w:r>
        <w:br/>
      </w:r>
      <w:r>
        <w:rPr>
          <w:rStyle w:val="VerbatimChar"/>
        </w:rPr>
        <w:t xml:space="preserve">  portal --&gt; transfer</w:t>
      </w:r>
      <w:r>
        <w:br/>
      </w:r>
      <w:r>
        <w:rPr>
          <w:rStyle w:val="VerbatimChar"/>
        </w:rPr>
        <w:t xml:space="preserve">  transfer --&gt; account</w:t>
      </w:r>
      <w:r>
        <w:br/>
      </w:r>
      <w:r>
        <w:rPr>
          <w:rStyle w:val="VerbatimChar"/>
        </w:rPr>
        <w:t xml:space="preserve">  transfer --&gt; audit</w:t>
      </w:r>
      <w:r>
        <w:br/>
      </w:r>
      <w:r>
        <w:rPr>
          <w:rStyle w:val="VerbatimChar"/>
        </w:rPr>
        <w:t xml:space="preserve">  report --&gt; transaction</w:t>
      </w:r>
      <w:r>
        <w:br/>
      </w:r>
      <w:r>
        <w:rPr>
          <w:rStyle w:val="VerbatimChar"/>
        </w:rPr>
        <w:t xml:space="preserve">  report --&gt; account</w:t>
      </w:r>
      <w:r>
        <w:br/>
      </w:r>
      <w:r>
        <w:rPr>
          <w:rStyle w:val="VerbatimChar"/>
        </w:rPr>
        <w:t xml:space="preserve">  report --&gt; transfer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  <w:r>
        <w:br/>
      </w:r>
      <w:r>
        <w:rPr>
          <w:rStyle w:val="VerbatimChar"/>
        </w:rPr>
        <w:t xml:space="preserve">  dashboard --&gt; cache</w:t>
      </w:r>
      <w:r>
        <w:br/>
      </w:r>
      <w:r>
        <w:rPr>
          <w:rStyle w:val="VerbatimChar"/>
        </w:rPr>
        <w:t xml:space="preserve">  role --&gt; cache</w:t>
      </w:r>
    </w:p>
    <w:p>
      <w:pPr>
        <w:pStyle w:val="FirstParagraph"/>
        <w:spacing w:after="160" w:line="276" w:lineRule="auto"/>
        <w:jc w:val="left"/>
      </w:pPr>
      <w:r>
        <w:t xml:space="preserve">Implemented packages include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(Redis</w:t>
      </w:r>
      <w:r>
        <w:t xml:space="preserve"> </w:t>
      </w:r>
      <w:r>
        <w:t xml:space="preserve">cache-aside),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replica</w:t>
      </w:r>
      <w:r>
        <w:t xml:space="preserve"> </w:t>
      </w:r>
      <w:r>
        <w:t xml:space="preserve">(local lab). Still stub: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product.</w:t>
      </w:r>
      <w:r>
        <w:t xml:space="preserve"> </w:t>
      </w:r>
      <w:r>
        <w:t xml:space="preserve">## 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  <w:spacing w:after="160" w:line="276" w:lineRule="auto"/>
        <w:jc w:val="left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JpaAuditingConfig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Exceptions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GlobalExceptionHandler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 exceptions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base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Utils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</w:p>
        </w:tc>
      </w:tr>
    </w:tbl>
    <w:bookmarkEnd w:id="13"/>
    <w:bookmarkStart w:id="14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  <w:spacing w:after="160" w:line="276" w:lineRule="auto"/>
        <w:jc w:val="left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4"/>
    <w:bookmarkStart w:id="15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40"/>
        <w:gridCol w:w="2140"/>
        <w:gridCol w:w="3424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(primary)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9080 HTTP / 9443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JDWP debug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7777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by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LIBERTY_DEBUG=0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to disable)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Kafka (local)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9092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docker compose up -d kafka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Redis (local)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6379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docker compose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Redis;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cache + rate limit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Mailpit (local)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SMTP 1025 / UI 8025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docker compose up -d mailpit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4200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Talks to API base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5"/>
    <w:bookmarkStart w:id="16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</w:t>
      </w:r>
      <w:r>
        <w:t xml:space="preserve"> </w:t>
      </w:r>
      <w:r>
        <w:t xml:space="preserve">user APIs)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 (auth path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Redis-cached)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Optional Redis rate limit on login/API (local;</w:t>
      </w:r>
      <w:r>
        <w:t xml:space="preserve"> </w:t>
      </w:r>
      <w:r>
        <w:rPr>
          <w:rStyle w:val="VerbatimChar"/>
        </w:rPr>
        <w:t xml:space="preserve">app.rate-limit.redis-enabled</w:t>
      </w:r>
      <w:r>
        <w:t xml:space="preserve">)</w:t>
      </w:r>
    </w:p>
    <w:bookmarkEnd w:id="16"/>
    <w:bookmarkStart w:id="17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Cache-aside (local):</w:t>
      </w:r>
      <w:r>
        <w:t xml:space="preserve"> </w:t>
      </w:r>
      <w:r>
        <w:t xml:space="preserve">Spring Cache → Redis for major reads; evict</w:t>
      </w:r>
      <w:r>
        <w:t xml:space="preserve"> </w:t>
      </w:r>
      <w:r>
        <w:t xml:space="preserve">on writes. See</w:t>
      </w:r>
      <w:r>
        <w:t xml:space="preserve"> </w:t>
      </w:r>
      <w:hyperlink r:id="rId9">
        <w:r>
          <w:rPr>
            <w:rStyle w:val="Hyperlink"/>
          </w:rPr>
          <w:t xml:space="preserve">MODULES/Caching.md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b/>
          <w:bCs/>
        </w:rPr>
        <w:t xml:space="preserve">Read replica lab (local):</w:t>
      </w:r>
      <w:r>
        <w:t xml:space="preserve"> </w:t>
      </w:r>
      <w:r>
        <w:t xml:space="preserve">writes →</w:t>
      </w:r>
      <w:r>
        <w:t xml:space="preserve"> </w:t>
      </w:r>
      <w:r>
        <w:rPr>
          <w:rStyle w:val="VerbatimChar"/>
        </w:rPr>
        <w:t xml:space="preserve">bankone</w:t>
      </w:r>
      <w:r>
        <w:t xml:space="preserve">, read-only txs →</w:t>
      </w:r>
      <w:r>
        <w:t xml:space="preserve"> </w:t>
      </w:r>
      <w:r>
        <w:rPr>
          <w:rStyle w:val="VerbatimChar"/>
        </w:rPr>
        <w:t xml:space="preserve">bankone_read</w:t>
      </w:r>
      <w:r>
        <w:t xml:space="preserve">; sync via scheduler /</w:t>
      </w:r>
      <w:r>
        <w:t xml:space="preserve"> </w:t>
      </w:r>
      <w:r>
        <w:rPr>
          <w:rStyle w:val="VerbatimChar"/>
        </w:rPr>
        <w:t xml:space="preserve">POST /admin/replica/sync</w:t>
      </w:r>
    </w:p>
    <w:bookmarkEnd w:id="17"/>
    <w:bookmarkStart w:id="21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9">
        <w:r>
          <w:rPr>
            <w:rStyle w:val="Hyperlink"/>
          </w:rPr>
          <w:t xml:space="preserve">MODULES/Caching.md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8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9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20">
        <w:r>
          <w:rPr>
            <w:rStyle w:val="Hyperlink"/>
          </w:rPr>
          <w:t xml:space="preserve">DATABASE_SCHEMA.md</w:t>
        </w:r>
      </w:hyperlink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hyperlink" Target="./CALL_FLOW.md" TargetMode="External"/><Relationship Id="rId19" Type="http://schemas.openxmlformats.org/officeDocument/2006/relationships/hyperlink" Target="./CLASS_DIAGRAM.md" TargetMode="External"/><Relationship Id="rId20" Type="http://schemas.openxmlformats.org/officeDocument/2006/relationships/hyperlink" Target="./DATABASE_SCHEMA.md" TargetMode="External"/><Relationship Id="rId9" Type="http://schemas.openxmlformats.org/officeDocument/2006/relationships/hyperlink" Target="./MODULES/Caching.md" TargetMode="External"/><Relationship Id="rId11" Type="http://schemas.openxmlformats.org/officeDocument/2006/relationships/hyperlink" Target="./TECH_LEARNING_PLAN.md" TargetMode="External"/><Relationship Id="rId10" Type="http://schemas.openxmlformats.org/officeDocument/2006/relationships/hyperlink" Target="./TECH_STACK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CALL_FLOW.md" TargetMode="External"/><Relationship Id="rId19" Type="http://schemas.openxmlformats.org/officeDocument/2006/relationships/hyperlink" Target="./CLASS_DIAGRAM.md" TargetMode="External"/><Relationship Id="rId20" Type="http://schemas.openxmlformats.org/officeDocument/2006/relationships/hyperlink" Target="./DATABASE_SCHEMA.md" TargetMode="External"/><Relationship Id="rId9" Type="http://schemas.openxmlformats.org/officeDocument/2006/relationships/hyperlink" Target="./MODULES/Caching.md" TargetMode="External"/><Relationship Id="rId11" Type="http://schemas.openxmlformats.org/officeDocument/2006/relationships/hyperlink" Target="./TECH_LEARNING_PLAN.md" TargetMode="External"/><Relationship Id="rId10" Type="http://schemas.openxmlformats.org/officeDocument/2006/relationships/hyperlink" Target="./TECH_STAC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2026-08-02T13:59:01Z</dcterms:created>
  <dcterms:modified xsi:type="dcterms:W3CDTF">2026-08-02T13:59:01Z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