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30"/>
        <w:gridCol w:w="52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Goal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Recommended 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enum value + policy seed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label; do not invent numbers without generator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over hardcoding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money move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Already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open/deposit/withdraw/transfer; extend types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narrations carefully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Notify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new 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 publish site in service after save;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BankActionEvent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composer (see Notification)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master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replace free-text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stub-thin-modules-ready-for-next-slices"/>
    <w:p>
      <w:pPr>
        <w:pStyle w:val="Heading2"/>
      </w:pPr>
      <w:r>
        <w:t xml:space="preserve">Stub / thin modules ready for next slices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78"/>
        <w:gridCol w:w="2956"/>
        <w:gridCol w:w="327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Package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Suggested first slice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(Partial)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beneficiary-linked transfers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Notification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com.bankone.notification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Notify both transfer parties;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transactional outbox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Daily deposits summary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 security/business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  <w:spacing w:after="160" w:line="276" w:lineRule="auto"/>
        <w:jc w:val="left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2026-07-25T05:39:33Z</dcterms:created>
  <dcterms:modified xsi:type="dcterms:W3CDTF">2026-07-25T05:39:33Z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