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Account</w:t>
      </w:r>
    </w:p>
    <w:bookmarkStart w:id="33" w:name="account"/>
    <w:p>
      <w:pPr>
        <w:pStyle w:val="Heading1"/>
      </w:pPr>
      <w:r>
        <w:t xml:space="preserve">Account</w:t>
      </w:r>
    </w:p>
    <w:bookmarkStart w:id="10" w:name="feature-overview"/>
    <w:p>
      <w:pPr>
        <w:pStyle w:val="Heading2"/>
      </w:pPr>
      <w:r>
        <w:t xml:space="preserve">1. Feature Overview</w:t>
      </w:r>
    </w:p>
    <w:p>
      <w:pPr>
        <w:pStyle w:val="FirstParagraph"/>
        <w:spacing w:after="160" w:line="276" w:lineRule="auto"/>
        <w:jc w:val="left"/>
      </w:pPr>
      <w:r>
        <w:t xml:space="preserve">Open accounts under a customer, enforce account policies (opening</w:t>
      </w:r>
      <w:r>
        <w:t xml:space="preserve"> </w:t>
      </w:r>
      <w:r>
        <w:t xml:space="preserve">deposit / min balance metadata), search accounts, update status, and</w:t>
      </w:r>
      <w:r>
        <w:t xml:space="preserve"> </w:t>
      </w:r>
      <w:r>
        <w:t xml:space="preserve">post simple deposits that credit balances.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for open / search / get-by-id / status / deposit / withdraw /</w:t>
      </w:r>
      <w:r>
        <w:t xml:space="preserve"> </w:t>
      </w:r>
      <w:r>
        <w:rPr>
          <w:b/>
          <w:bCs/>
        </w:rPr>
        <w:t xml:space="preserve">transfer</w:t>
      </w:r>
      <w:r>
        <w:t xml:space="preserve"> </w:t>
      </w:r>
      <w:r>
        <w:t xml:space="preserve">/ policies / transaction list API.</w:t>
      </w:r>
      <w:r>
        <w:t xml:space="preserve"> </w:t>
      </w:r>
      <w:r>
        <w:t xml:space="preserve">Deposit and</w:t>
      </w:r>
      <w:r>
        <w:t xml:space="preserve"> </w:t>
      </w:r>
      <w:r>
        <w:rPr>
          <w:b/>
          <w:bCs/>
        </w:rPr>
        <w:t xml:space="preserve">opening deposit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openAccount</w:t>
      </w:r>
      <w:r>
        <w:t xml:space="preserve"> </w:t>
      </w:r>
      <w:r>
        <w:t xml:space="preserve">when amount &gt; 0) write a</w:t>
      </w:r>
      <w:r>
        <w:t xml:space="preserve"> </w:t>
      </w:r>
      <w:r>
        <w:rPr>
          <w:b/>
          <w:bCs/>
        </w:rPr>
        <w:t xml:space="preserve">CREDIT</w:t>
      </w:r>
      <w:r>
        <w:t xml:space="preserve"> </w:t>
      </w:r>
      <w:r>
        <w:t xml:space="preserve">row;</w:t>
      </w:r>
      <w:r>
        <w:t xml:space="preserve"> </w:t>
      </w:r>
      <w:r>
        <w:rPr>
          <w:b/>
          <w:bCs/>
        </w:rPr>
        <w:t xml:space="preserve">withdraw</w:t>
      </w:r>
      <w:r>
        <w:t xml:space="preserve"> </w:t>
      </w:r>
      <w:r>
        <w:t xml:space="preserve">writes a</w:t>
      </w:r>
      <w:r>
        <w:t xml:space="preserve"> </w:t>
      </w:r>
      <w:r>
        <w:rPr>
          <w:b/>
          <w:bCs/>
        </w:rPr>
        <w:t xml:space="preserve">DEBIT</w:t>
      </w:r>
      <w:r>
        <w:t xml:space="preserve"> </w:t>
      </w:r>
      <w:r>
        <w:t xml:space="preserve">row;</w:t>
      </w:r>
      <w:r>
        <w:t xml:space="preserve"> </w:t>
      </w:r>
      <w:r>
        <w:rPr>
          <w:b/>
          <w:bCs/>
        </w:rPr>
        <w:t xml:space="preserve">transfer</w:t>
      </w:r>
      <w:r>
        <w:t xml:space="preserve"> </w:t>
      </w:r>
      <w:r>
        <w:t xml:space="preserve">writes DEBIT+CREDIT via</w:t>
      </w:r>
      <w:r>
        <w:t xml:space="preserve"> </w:t>
      </w:r>
      <w:r>
        <w:rPr>
          <w:rStyle w:val="VerbatimChar"/>
        </w:rPr>
        <w:t xml:space="preserve">TransactionService.record</w:t>
      </w:r>
      <w:r>
        <w:t xml:space="preserve">.</w:t>
      </w:r>
      <w:r>
        <w:t xml:space="preserve"> </w:t>
      </w:r>
      <w:r>
        <w:t xml:space="preserve">Withdraw uses</w:t>
      </w:r>
      <w:r>
        <w:t xml:space="preserve"> </w:t>
      </w:r>
      <w:r>
        <w:rPr>
          <w:rStyle w:val="VerbatimChar"/>
        </w:rPr>
        <w:t xml:space="preserve">findByIdForUpdate</w:t>
      </w:r>
      <w:r>
        <w:t xml:space="preserve"> </w:t>
      </w:r>
      <w:r>
        <w:t xml:space="preserve">(pessimistic lock) and rejects insufficient funds.</w:t>
      </w:r>
      <w:r>
        <w:t xml:space="preserve"> </w:t>
      </w:r>
      <w:r>
        <w:rPr>
          <w:b/>
          <w:bCs/>
        </w:rPr>
        <w:t xml:space="preserve">Transfer</w:t>
      </w:r>
      <w:r>
        <w:t xml:space="preserve"> </w:t>
      </w:r>
      <w:r>
        <w:t xml:space="preserve">locks both accounts in id order, rejects same-account / currency mismatch / insufficient funds; writes DEBIT + CREDIT ledger rows.</w:t>
      </w:r>
      <w:r>
        <w:t xml:space="preserve"> </w:t>
      </w:r>
      <w:r>
        <w:rPr>
          <w:b/>
          <w:bCs/>
        </w:rPr>
        <w:t xml:space="preserve">Notifications:</w:t>
      </w:r>
      <w:r>
        <w:t xml:space="preserve"> </w:t>
      </w:r>
      <w:r>
        <w:t xml:space="preserve">after open/deposit/withdraw/transfer,</w:t>
      </w:r>
      <w:r>
        <w:t xml:space="preserve"> </w:t>
      </w:r>
      <w:r>
        <w:rPr>
          <w:rStyle w:val="VerbatimChar"/>
        </w:rPr>
        <w:t xml:space="preserve">NotificationEventPublisher</w:t>
      </w:r>
      <w:r>
        <w:t xml:space="preserve"> </w:t>
      </w:r>
      <w:r>
        <w:t xml:space="preserve">sends Kafka events; email goes to the</w:t>
      </w:r>
      <w:r>
        <w:t xml:space="preserve"> </w:t>
      </w:r>
      <w:r>
        <w:rPr>
          <w:b/>
          <w:bCs/>
        </w:rPr>
        <w:t xml:space="preserve">customer email</w:t>
      </w:r>
      <w:r>
        <w:t xml:space="preserve"> </w:t>
      </w:r>
      <w:r>
        <w:t xml:space="preserve">(see</w:t>
      </w:r>
      <w:r>
        <w:t xml:space="preserve"> </w:t>
      </w:r>
      <w:hyperlink r:id="rId9">
        <w:r>
          <w:rPr>
            <w:rStyle w:val="Hyperlink"/>
          </w:rPr>
          <w:t xml:space="preserve">Notification.md</w:t>
        </w:r>
      </w:hyperlink>
      <w:r>
        <w:t xml:space="preserve">).</w:t>
      </w:r>
    </w:p>
    <w:bookmarkEnd w:id="10"/>
    <w:bookmarkStart w:id="11" w:name="business-purpose"/>
    <w:p>
      <w:pPr>
        <w:pStyle w:val="Heading2"/>
      </w:pPr>
      <w:r>
        <w:t xml:space="preserve">2. Business Purpose</w:t>
      </w:r>
    </w:p>
    <w:p>
      <w:pPr>
        <w:pStyle w:val="FirstParagraph"/>
        <w:spacing w:after="160" w:line="276" w:lineRule="auto"/>
        <w:jc w:val="left"/>
      </w:pPr>
      <w:r>
        <w:t xml:space="preserve">Hold customer balances and product types (SAVINGS, CURRENT, SALARY, FD,</w:t>
      </w:r>
      <w:r>
        <w:t xml:space="preserve"> </w:t>
      </w:r>
      <w:r>
        <w:t xml:space="preserve">RD, LOAN) with branch-coded account numbers.</w:t>
      </w:r>
    </w:p>
    <w:bookmarkEnd w:id="11"/>
    <w:bookmarkStart w:id="12" w:name="user-workflow"/>
    <w:p>
      <w:pPr>
        <w:pStyle w:val="Heading2"/>
      </w:pPr>
      <w:r>
        <w:t xml:space="preserve">3. User Workflow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rPr>
          <w:rStyle w:val="VerbatimChar"/>
        </w:rPr>
        <w:t xml:space="preserve">/app/accounts</w:t>
      </w:r>
      <w:r>
        <w:t xml:space="preserve"> </w:t>
      </w:r>
      <w:r>
        <w:t xml:space="preserve">— search list, Deposit / Withdraw / Transfer actions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Customer detail — Add Current (loads policy → opening deposit</w:t>
      </w:r>
      <w:r>
        <w:t xml:space="preserve"> </w:t>
      </w:r>
      <w:r>
        <w:t xml:space="preserve">dialog if required) / Add Loan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Customer create — optional first account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Policies seeded at startup; create policy via API</w:t>
      </w:r>
    </w:p>
    <w:bookmarkEnd w:id="12"/>
    <w:bookmarkStart w:id="16" w:name="execution-flow"/>
    <w:p>
      <w:pPr>
        <w:pStyle w:val="Heading2"/>
      </w:pPr>
      <w:r>
        <w:t xml:space="preserve">4. Execution Flow</w:t>
      </w:r>
    </w:p>
    <w:p>
      <w:pPr>
        <w:pStyle w:val="FirstParagraph"/>
        <w:spacing w:after="160" w:line="276" w:lineRule="auto"/>
        <w:jc w:val="left"/>
      </w:pPr>
      <w:r>
        <w:t xml:space="preserve">See</w:t>
      </w:r>
      <w:r>
        <w:t xml:space="preserve"> </w:t>
      </w:r>
      <w:hyperlink r:id="rId13">
        <w:r>
          <w:rPr>
            <w:rStyle w:val="Hyperlink"/>
          </w:rPr>
          <w:t xml:space="preserve">CALL_FLOW.md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deposit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get active account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policy</w:t>
        </w:r>
      </w:hyperlink>
      <w:r>
        <w:t xml:space="preserve">.</w:t>
      </w:r>
    </w:p>
    <w:bookmarkEnd w:id="16"/>
    <w:bookmarkStart w:id="17" w:name="database-tables"/>
    <w:p>
      <w:pPr>
        <w:pStyle w:val="Heading2"/>
      </w:pPr>
      <w:r>
        <w:t xml:space="preserve">5. Database Tables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10"/>
        <w:gridCol w:w="341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Table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Balances, status, number parts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account_policy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Per type+currency rules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account_ordinal_seq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Ordinal for number generation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customers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Owner FK</w:t>
            </w:r>
          </w:p>
        </w:tc>
      </w:tr>
    </w:tbl>
    <w:bookmarkEnd w:id="17"/>
    <w:bookmarkStart w:id="18" w:name="rest-apis"/>
    <w:p>
      <w:pPr>
        <w:pStyle w:val="Heading2"/>
      </w:pPr>
      <w:r>
        <w:t xml:space="preserve">6. REST APIs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827"/>
        <w:gridCol w:w="4090"/>
        <w:gridCol w:w="1827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Method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Path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Roles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POST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/accounts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ADMIN, EMPLOYEE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GET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/accounts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ADMIN, EMPLOYEE,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MANAGER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GET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/accounts/customer/{customerId}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ADMIN, EMPLOYEE,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MANAGER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GET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/accounts/{accountId}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ADMIN, EMPLOYEE,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MANAGER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GET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/accounts/{accountId}/transactions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ADMIN, EMPLOYEE,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MANAGER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PUT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/accounts/{accountId}/status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ADMIN, EMPLOYEE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POST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/accounts/{accountId}/deposit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ADMIN, EMPLOYEE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POST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/account-policies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Authenticated*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GET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/account-policies?accountType&amp;currencyCode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Authenticated*</w:t>
            </w:r>
          </w:p>
        </w:tc>
      </w:tr>
    </w:tbl>
    <w:p>
      <w:pPr>
        <w:pStyle w:val="BodyText"/>
      </w:pPr>
      <w:r>
        <w:t xml:space="preserve">*Restrict to ADMIN — deferred hardening.</w:t>
      </w:r>
    </w:p>
    <w:bookmarkEnd w:id="18"/>
    <w:bookmarkStart w:id="19" w:name="controllers"/>
    <w:p>
      <w:pPr>
        <w:pStyle w:val="Heading2"/>
      </w:pPr>
      <w:r>
        <w:t xml:space="preserve">7. Controllers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rPr>
          <w:rStyle w:val="VerbatimChar"/>
        </w:rPr>
        <w:t xml:space="preserve">AccountController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rPr>
          <w:rStyle w:val="VerbatimChar"/>
        </w:rPr>
        <w:t xml:space="preserve">AccountPolicyController</w:t>
      </w:r>
    </w:p>
    <w:bookmarkEnd w:id="19"/>
    <w:bookmarkStart w:id="20" w:name="services"/>
    <w:p>
      <w:pPr>
        <w:pStyle w:val="Heading2"/>
      </w:pPr>
      <w:r>
        <w:t xml:space="preserve">8. Services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rPr>
          <w:rStyle w:val="VerbatimChar"/>
        </w:rPr>
        <w:t xml:space="preserve">AccountService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AccountServiceImpl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openAccount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getAccountById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getAccountsByCustomerId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updateAccountStatus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deposit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searchAccounts</w:t>
      </w:r>
      <w:r>
        <w:t xml:space="preserve">; transactions via</w:t>
      </w:r>
      <w:r>
        <w:t xml:space="preserve"> </w:t>
      </w:r>
      <w:r>
        <w:rPr>
          <w:rStyle w:val="VerbatimChar"/>
        </w:rPr>
        <w:t xml:space="preserve">TransactionService.getByAccountId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rPr>
          <w:rStyle w:val="VerbatimChar"/>
        </w:rPr>
        <w:t xml:space="preserve">AccountPolicyService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AccountPolicyServiceImpl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getActivePolicy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rPr>
          <w:rStyle w:val="VerbatimChar"/>
        </w:rPr>
        <w:t xml:space="preserve">AccountPolicyInitializer</w:t>
      </w:r>
      <w:r>
        <w:t xml:space="preserve"> </w:t>
      </w:r>
      <w:r>
        <w:t xml:space="preserve">— seed INR policies</w:t>
      </w:r>
    </w:p>
    <w:bookmarkEnd w:id="20"/>
    <w:bookmarkStart w:id="21" w:name="repositories"/>
    <w:p>
      <w:pPr>
        <w:pStyle w:val="Heading2"/>
      </w:pPr>
      <w:r>
        <w:t xml:space="preserve">9. Repositories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r>
        <w:rPr>
          <w:rStyle w:val="VerbatimChar"/>
        </w:rPr>
        <w:t xml:space="preserve">AccountRepository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getNextOrdinal()</w:t>
      </w:r>
      <w:r>
        <w:t xml:space="preserve"> </w:t>
      </w:r>
      <w:r>
        <w:t xml:space="preserve">native query)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r>
        <w:rPr>
          <w:rStyle w:val="VerbatimChar"/>
        </w:rPr>
        <w:t xml:space="preserve">AccountPolicyRepository</w:t>
      </w:r>
    </w:p>
    <w:bookmarkEnd w:id="21"/>
    <w:bookmarkStart w:id="22" w:name="dtos"/>
    <w:p>
      <w:pPr>
        <w:pStyle w:val="Heading2"/>
      </w:pPr>
      <w:r>
        <w:t xml:space="preserve">10. DTOs</w:t>
      </w:r>
    </w:p>
    <w:p>
      <w:pPr>
        <w:pStyle w:val="FirstParagraph"/>
        <w:spacing w:after="160" w:line="276" w:lineRule="auto"/>
        <w:jc w:val="left"/>
      </w:pPr>
      <w:r>
        <w:rPr>
          <w:rStyle w:val="VerbatimChar"/>
        </w:rPr>
        <w:t xml:space="preserve">OpenAccountRequest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UpdateAccountStatusRequest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DepositRequest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CreateAccountPolicyRequest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AccountPolicyResponse</w:t>
      </w:r>
    </w:p>
    <w:bookmarkEnd w:id="22"/>
    <w:bookmarkStart w:id="23" w:name="entities-enums"/>
    <w:p>
      <w:pPr>
        <w:pStyle w:val="Heading2"/>
      </w:pPr>
      <w:r>
        <w:t xml:space="preserve">11. Entities / Enums</w:t>
      </w:r>
    </w:p>
    <w:p>
      <w:pPr>
        <w:pStyle w:val="Compact"/>
        <w:numPr>
          <w:ilvl w:val="0"/>
          <w:numId w:val="1005"/>
        </w:numPr>
        <w:spacing w:after="160" w:line="276" w:lineRule="auto"/>
        <w:jc w:val="left"/>
      </w:pPr>
      <w:r>
        <w:rPr>
          <w:rStyle w:val="VerbatimChar"/>
        </w:rPr>
        <w:t xml:space="preserve">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AccountPolicy</w:t>
      </w:r>
    </w:p>
    <w:p>
      <w:pPr>
        <w:pStyle w:val="Compact"/>
        <w:numPr>
          <w:ilvl w:val="0"/>
          <w:numId w:val="1005"/>
        </w:numPr>
        <w:spacing w:after="160" w:line="276" w:lineRule="auto"/>
        <w:jc w:val="left"/>
      </w:pPr>
      <w:r>
        <w:rPr>
          <w:rStyle w:val="VerbatimChar"/>
        </w:rPr>
        <w:t xml:space="preserve">AccountType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CurrencyCode</w:t>
      </w:r>
    </w:p>
    <w:bookmarkEnd w:id="23"/>
    <w:bookmarkStart w:id="24" w:name="utility-classes"/>
    <w:p>
      <w:pPr>
        <w:pStyle w:val="Heading2"/>
      </w:pPr>
      <w:r>
        <w:t xml:space="preserve">12. Utility Classes</w:t>
      </w:r>
    </w:p>
    <w:p>
      <w:pPr>
        <w:pStyle w:val="Compact"/>
        <w:numPr>
          <w:ilvl w:val="0"/>
          <w:numId w:val="1006"/>
        </w:numPr>
        <w:spacing w:after="160" w:line="276" w:lineRule="auto"/>
        <w:jc w:val="left"/>
      </w:pPr>
      <w:r>
        <w:rPr>
          <w:rStyle w:val="VerbatimChar"/>
        </w:rPr>
        <w:t xml:space="preserve">AccountNumberGenerator.generate(...)</w:t>
      </w:r>
    </w:p>
    <w:p>
      <w:pPr>
        <w:pStyle w:val="Compact"/>
        <w:numPr>
          <w:ilvl w:val="0"/>
          <w:numId w:val="1006"/>
        </w:numPr>
        <w:spacing w:after="160" w:line="276" w:lineRule="auto"/>
        <w:jc w:val="left"/>
      </w:pPr>
      <w:r>
        <w:rPr>
          <w:rStyle w:val="VerbatimChar"/>
        </w:rPr>
        <w:t xml:space="preserve">AccountSpecification.matching(...)</w:t>
      </w:r>
    </w:p>
    <w:bookmarkEnd w:id="24"/>
    <w:bookmarkStart w:id="25" w:name="configuration-classes"/>
    <w:p>
      <w:pPr>
        <w:pStyle w:val="Heading2"/>
      </w:pPr>
      <w:r>
        <w:t xml:space="preserve">13. Configuration Classes</w:t>
      </w:r>
    </w:p>
    <w:p>
      <w:pPr>
        <w:pStyle w:val="FirstParagraph"/>
        <w:spacing w:after="160" w:line="276" w:lineRule="auto"/>
        <w:jc w:val="left"/>
      </w:pPr>
      <w:r>
        <w:rPr>
          <w:rStyle w:val="VerbatimChar"/>
        </w:rPr>
        <w:t xml:space="preserve">SecurityConfig</w:t>
      </w:r>
      <w:r>
        <w:t xml:space="preserve"> </w:t>
      </w:r>
      <w:r>
        <w:t xml:space="preserve">matchers for</w:t>
      </w:r>
      <w:r>
        <w:t xml:space="preserve"> </w:t>
      </w:r>
      <w:r>
        <w:rPr>
          <w:rStyle w:val="VerbatimChar"/>
        </w:rPr>
        <w:t xml:space="preserve">/accounts/**</w:t>
      </w:r>
      <w:r>
        <w:t xml:space="preserve">; policy paths fall under</w:t>
      </w:r>
      <w:r>
        <w:t xml:space="preserve"> </w:t>
      </w:r>
      <w:r>
        <w:rPr>
          <w:rStyle w:val="VerbatimChar"/>
        </w:rPr>
        <w:t xml:space="preserve">anyRequest().authenticated()</w:t>
      </w:r>
      <w:r>
        <w:t xml:space="preserve">.</w:t>
      </w:r>
    </w:p>
    <w:p>
      <w:pPr>
        <w:pStyle w:val="BodyText"/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core/services/account.ts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account-policy.ts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features/accounts/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features/opening-deposit-dialog/</w:t>
      </w:r>
    </w:p>
    <w:bookmarkEnd w:id="25"/>
    <w:bookmarkStart w:id="26" w:name="validation-rules"/>
    <w:p>
      <w:pPr>
        <w:pStyle w:val="Heading2"/>
      </w:pPr>
      <w:r>
        <w:t xml:space="preserve">14. Validation Rules</w:t>
      </w:r>
    </w:p>
    <w:p>
      <w:pPr>
        <w:pStyle w:val="Compact"/>
        <w:numPr>
          <w:ilvl w:val="0"/>
          <w:numId w:val="1007"/>
        </w:numPr>
        <w:spacing w:after="160" w:line="276" w:lineRule="auto"/>
        <w:jc w:val="left"/>
      </w:pPr>
      <w:r>
        <w:t xml:space="preserve">Open: customer exists; active policy in effective window; if</w:t>
      </w:r>
      <w:r>
        <w:t xml:space="preserve"> </w:t>
      </w:r>
      <w:r>
        <w:rPr>
          <w:rStyle w:val="VerbatimChar"/>
        </w:rPr>
        <w:t xml:space="preserve">openingDepositRequired</w:t>
      </w:r>
      <w:r>
        <w:t xml:space="preserve"> </w:t>
      </w:r>
      <w:r>
        <w:t xml:space="preserve">then amount ≥</w:t>
      </w:r>
      <w:r>
        <w:t xml:space="preserve"> </w:t>
      </w:r>
      <w:r>
        <w:rPr>
          <w:rStyle w:val="VerbatimChar"/>
        </w:rPr>
        <w:t xml:space="preserve">requiredOpeningDeposit</w:t>
      </w:r>
    </w:p>
    <w:p>
      <w:pPr>
        <w:pStyle w:val="Compact"/>
        <w:numPr>
          <w:ilvl w:val="0"/>
          <w:numId w:val="1007"/>
        </w:numPr>
        <w:spacing w:after="160" w:line="276" w:lineRule="auto"/>
        <w:jc w:val="left"/>
      </w:pPr>
      <w:r>
        <w:t xml:space="preserve">Deposit: account ACTIVE; amount positive</w:t>
      </w:r>
    </w:p>
    <w:p>
      <w:pPr>
        <w:pStyle w:val="Compact"/>
        <w:numPr>
          <w:ilvl w:val="0"/>
          <w:numId w:val="1007"/>
        </w:numPr>
        <w:spacing w:after="160" w:line="276" w:lineRule="auto"/>
        <w:jc w:val="left"/>
      </w:pPr>
      <w:r>
        <w:t xml:space="preserve">Policy create: Bean Validation on</w:t>
      </w:r>
      <w:r>
        <w:t xml:space="preserve"> </w:t>
      </w:r>
      <w:r>
        <w:rPr>
          <w:rStyle w:val="VerbatimChar"/>
        </w:rPr>
        <w:t xml:space="preserve">CreateAccountPolicyRequest</w:t>
      </w:r>
    </w:p>
    <w:bookmarkEnd w:id="26"/>
    <w:bookmarkStart w:id="27" w:name="security-rules"/>
    <w:p>
      <w:pPr>
        <w:pStyle w:val="Heading2"/>
      </w:pPr>
      <w:r>
        <w:t xml:space="preserve">15. Security Rules</w:t>
      </w:r>
    </w:p>
    <w:p>
      <w:pPr>
        <w:pStyle w:val="FirstParagraph"/>
        <w:spacing w:after="160" w:line="276" w:lineRule="auto"/>
        <w:jc w:val="left"/>
      </w:pPr>
      <w:r>
        <w:t xml:space="preserve">Account mutations ADMIN/EMPLOYEE; reads include MANAGER. Policy</w:t>
      </w:r>
      <w:r>
        <w:t xml:space="preserve"> </w:t>
      </w:r>
      <w:r>
        <w:t xml:space="preserve">endpoints currently any authenticated user.</w:t>
      </w:r>
    </w:p>
    <w:bookmarkEnd w:id="27"/>
    <w:bookmarkStart w:id="28" w:name="exception-handling"/>
    <w:p>
      <w:pPr>
        <w:pStyle w:val="Heading2"/>
      </w:pPr>
      <w:r>
        <w:t xml:space="preserve">16. Exception Handling</w:t>
      </w:r>
    </w:p>
    <w:p>
      <w:pPr>
        <w:pStyle w:val="FirstParagraph"/>
        <w:spacing w:after="160" w:line="276" w:lineRule="auto"/>
        <w:jc w:val="left"/>
      </w:pPr>
      <w:r>
        <w:t xml:space="preserve">Business exceptions for missing account/customer/policy and validation</w:t>
      </w:r>
      <w:r>
        <w:t xml:space="preserve"> </w:t>
      </w:r>
      <w:r>
        <w:t xml:space="preserve">failures →</w:t>
      </w:r>
      <w:r>
        <w:t xml:space="preserve"> </w:t>
      </w:r>
      <w:r>
        <w:rPr>
          <w:rStyle w:val="VerbatimChar"/>
        </w:rPr>
        <w:t xml:space="preserve">GlobalExceptionHandler</w:t>
      </w:r>
      <w:r>
        <w:t xml:space="preserve">.</w:t>
      </w:r>
    </w:p>
    <w:bookmarkEnd w:id="28"/>
    <w:bookmarkStart w:id="29" w:name="logging"/>
    <w:p>
      <w:pPr>
        <w:pStyle w:val="Heading2"/>
      </w:pPr>
      <w:r>
        <w:t xml:space="preserve">17. Logging</w:t>
      </w:r>
    </w:p>
    <w:p>
      <w:pPr>
        <w:pStyle w:val="FirstParagraph"/>
        <w:spacing w:after="160" w:line="276" w:lineRule="auto"/>
        <w:jc w:val="left"/>
      </w:pPr>
      <w:r>
        <w:t xml:space="preserve">SQL debug in dev; no structured account event log.</w:t>
      </w:r>
    </w:p>
    <w:bookmarkEnd w:id="29"/>
    <w:bookmarkStart w:id="30" w:name="audit-events"/>
    <w:p>
      <w:pPr>
        <w:pStyle w:val="Heading2"/>
      </w:pPr>
      <w:r>
        <w:t xml:space="preserve">18. Audit Events</w:t>
      </w:r>
    </w:p>
    <w:p>
      <w:pPr>
        <w:pStyle w:val="FirstParagraph"/>
        <w:spacing w:after="160" w:line="276" w:lineRule="auto"/>
        <w:jc w:val="left"/>
      </w:pPr>
      <w:r>
        <w:t xml:space="preserve">Account has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/ timestamps;</w:t>
      </w:r>
      <w:r>
        <w:t xml:space="preserve"> </w:t>
      </w:r>
      <w:r>
        <w:rPr>
          <w:rStyle w:val="VerbatimChar"/>
        </w:rPr>
        <w:t xml:space="preserve">AccountPolicy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AuditableEntity</w:t>
      </w:r>
      <w:r>
        <w:t xml:space="preserve">. Opening deposits (&gt; 0) and post-open deposits write an immutable</w:t>
      </w:r>
      <w:r>
        <w:t xml:space="preserve"> </w:t>
      </w:r>
      <w:r>
        <w:rPr>
          <w:rStyle w:val="VerbatimChar"/>
        </w:rPr>
        <w:t xml:space="preserve">bank_transaction</w:t>
      </w:r>
      <w:r>
        <w:t xml:space="preserve"> </w:t>
      </w:r>
      <w:r>
        <w:t xml:space="preserve">CREDIT via</w:t>
      </w:r>
      <w:r>
        <w:t xml:space="preserve"> </w:t>
      </w:r>
      <w:r>
        <w:rPr>
          <w:rStyle w:val="VerbatimChar"/>
        </w:rPr>
        <w:t xml:space="preserve">TransactionService.record</w:t>
      </w:r>
      <w:r>
        <w:t xml:space="preserve">.</w:t>
      </w:r>
    </w:p>
    <w:bookmarkEnd w:id="30"/>
    <w:bookmarkStart w:id="31" w:name="testing-strategy"/>
    <w:p>
      <w:pPr>
        <w:pStyle w:val="Heading2"/>
      </w:pPr>
      <w:r>
        <w:t xml:space="preserve">19. Testing Strategy</w:t>
      </w:r>
    </w:p>
    <w:p>
      <w:pPr>
        <w:pStyle w:val="Compact"/>
        <w:numPr>
          <w:ilvl w:val="0"/>
          <w:numId w:val="1008"/>
        </w:numPr>
        <w:spacing w:after="160" w:line="276" w:lineRule="auto"/>
        <w:jc w:val="left"/>
      </w:pPr>
      <w:r>
        <w:t xml:space="preserve">Open CURRENT with deposit &lt; 5000 → reject</w:t>
      </w:r>
    </w:p>
    <w:p>
      <w:pPr>
        <w:pStyle w:val="Compact"/>
        <w:numPr>
          <w:ilvl w:val="0"/>
          <w:numId w:val="1008"/>
        </w:numPr>
        <w:spacing w:after="160" w:line="276" w:lineRule="auto"/>
        <w:jc w:val="left"/>
      </w:pPr>
      <w:r>
        <w:t xml:space="preserve">Open CURRENT with ≥ policy min → balances equal deposit</w:t>
      </w:r>
    </w:p>
    <w:p>
      <w:pPr>
        <w:pStyle w:val="Compact"/>
        <w:numPr>
          <w:ilvl w:val="0"/>
          <w:numId w:val="1008"/>
        </w:numPr>
        <w:spacing w:after="160" w:line="276" w:lineRule="auto"/>
        <w:jc w:val="left"/>
      </w:pPr>
      <w:r>
        <w:t xml:space="preserve">Deposit on ACTIVE → balances and</w:t>
      </w:r>
      <w:r>
        <w:t xml:space="preserve"> </w:t>
      </w:r>
      <w:r>
        <w:rPr>
          <w:rStyle w:val="VerbatimChar"/>
        </w:rPr>
        <w:t xml:space="preserve">creditCount</w:t>
      </w:r>
      <w:r>
        <w:t xml:space="preserve"> </w:t>
      </w:r>
      <w:r>
        <w:t xml:space="preserve">increase</w:t>
      </w:r>
    </w:p>
    <w:p>
      <w:pPr>
        <w:pStyle w:val="Compact"/>
        <w:numPr>
          <w:ilvl w:val="0"/>
          <w:numId w:val="1008"/>
        </w:numPr>
        <w:spacing w:after="160" w:line="276" w:lineRule="auto"/>
        <w:jc w:val="left"/>
      </w:pPr>
      <w:r>
        <w:t xml:space="preserve">Deposit on non-ACTIVE → reject</w:t>
      </w:r>
    </w:p>
    <w:p>
      <w:pPr>
        <w:pStyle w:val="Compact"/>
        <w:numPr>
          <w:ilvl w:val="0"/>
          <w:numId w:val="1008"/>
        </w:numPr>
        <w:spacing w:after="160" w:line="276" w:lineRule="auto"/>
        <w:jc w:val="left"/>
      </w:pPr>
      <w:r>
        <w:t xml:space="preserve">GET policy CURRENT/INR returns seed row</w:t>
      </w:r>
    </w:p>
    <w:p>
      <w:pPr>
        <w:pStyle w:val="Compact"/>
        <w:numPr>
          <w:ilvl w:val="0"/>
          <w:numId w:val="1008"/>
        </w:numPr>
        <w:spacing w:after="160" w:line="276" w:lineRule="auto"/>
        <w:jc w:val="left"/>
      </w:pPr>
      <w:r>
        <w:t xml:space="preserve">UI: Add Current opens dialog when required</w:t>
      </w:r>
    </w:p>
    <w:bookmarkEnd w:id="31"/>
    <w:bookmarkStart w:id="32" w:name="future-extension-guide"/>
    <w:p>
      <w:pPr>
        <w:pStyle w:val="Heading2"/>
      </w:pPr>
      <w:r>
        <w:t xml:space="preserve">20. Future Extension Guide</w:t>
      </w:r>
    </w:p>
    <w:p>
      <w:pPr>
        <w:pStyle w:val="Compact"/>
        <w:numPr>
          <w:ilvl w:val="0"/>
          <w:numId w:val="1009"/>
        </w:numPr>
        <w:spacing w:after="160" w:line="276" w:lineRule="auto"/>
        <w:jc w:val="left"/>
      </w:pPr>
      <w:r>
        <w:t xml:space="preserve">Status transition state machine (no CLOSED→ACTIVE; close with zero balance)</w:t>
      </w:r>
    </w:p>
    <w:p>
      <w:pPr>
        <w:pStyle w:val="Compact"/>
        <w:numPr>
          <w:ilvl w:val="0"/>
          <w:numId w:val="1009"/>
        </w:numPr>
        <w:spacing w:after="160" w:line="276" w:lineRule="auto"/>
        <w:jc w:val="left"/>
      </w:pPr>
      <w:r>
        <w:t xml:space="preserve">Seed LOAN policy or block LOAN until product module exists</w:t>
      </w:r>
    </w:p>
    <w:p>
      <w:pPr>
        <w:pStyle w:val="Compact"/>
        <w:numPr>
          <w:ilvl w:val="0"/>
          <w:numId w:val="1009"/>
        </w:numPr>
        <w:spacing w:after="160" w:line="276" w:lineRule="auto"/>
        <w:jc w:val="left"/>
      </w:pPr>
      <w:r>
        <w:t xml:space="preserve">Maker–checker for large deposits</w:t>
      </w:r>
    </w:p>
    <w:p>
      <w:pPr>
        <w:pStyle w:val="Compact"/>
        <w:numPr>
          <w:ilvl w:val="0"/>
          <w:numId w:val="1009"/>
        </w:numPr>
        <w:spacing w:after="160" w:line="276" w:lineRule="auto"/>
        <w:jc w:val="left"/>
      </w:pPr>
      <w:r>
        <w:t xml:space="preserve">Notify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parties on transfer; Kafka outbox</w:t>
      </w:r>
    </w:p>
    <w:p>
      <w:pPr>
        <w:pStyle w:val="Compact"/>
        <w:numPr>
          <w:ilvl w:val="0"/>
          <w:numId w:val="1009"/>
        </w:numPr>
        <w:spacing w:after="160" w:line="276" w:lineRule="auto"/>
        <w:jc w:val="left"/>
      </w:pPr>
      <w:r>
        <w:t xml:space="preserve">Daily interest / statement PDF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32"/>
    <w:bookmarkEnd w:id="33"/>
    <w:bookmarkStart w:id="40" w:name="future-modification-guide"/>
    <w:p>
      <w:pPr>
        <w:pStyle w:val="Heading1"/>
      </w:pPr>
      <w:r>
        <w:t xml:space="preserve">Future Modification Guide</w:t>
      </w:r>
    </w:p>
    <w:bookmarkStart w:id="34" w:name="Xf23cdc9b1440682ab572880293330766e34c8f8"/>
    <w:p>
      <w:pPr>
        <w:pStyle w:val="Heading3"/>
      </w:pPr>
      <w:r>
        <w:t xml:space="preserve">Requirement: Increase required opening deposit for CURRENT/INR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860"/>
        <w:gridCol w:w="462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Prefer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Update/insert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account_policy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row (API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POST /account-policies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or DB) —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not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hardcode UI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Files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AccountPolicyInitializer.java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(seed),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or runtime policy via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AccountPolicyServiceImpl.createPolicy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Classes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AccountPolicy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AccountPolicyServiceImpl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Methods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createPolicy()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getActivePolicy()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enforced in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AccountServiceImpl.openAccount()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OpeningDepositDialog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min; customer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onboarding amounts</w:t>
            </w:r>
          </w:p>
        </w:tc>
      </w:tr>
    </w:tbl>
    <w:bookmarkEnd w:id="34"/>
    <w:bookmarkStart w:id="35" w:name="Xfbac804105b662c717f7feba9459e5eaf28b5f6"/>
    <w:p>
      <w:pPr>
        <w:pStyle w:val="Heading3"/>
      </w:pPr>
      <w:r>
        <w:t xml:space="preserve">Requirement: Change deposit to write a ledger entry</w:t>
      </w:r>
    </w:p>
    <w:p>
      <w:pPr>
        <w:pStyle w:val="FirstParagraph"/>
        <w:spacing w:after="160" w:line="276" w:lineRule="auto"/>
        <w:jc w:val="left"/>
      </w:pPr>
      <w:r>
        <w:rPr>
          <w:b/>
          <w:bCs/>
        </w:rPr>
        <w:t xml:space="preserve">Done:</w:t>
      </w:r>
      <w:r>
        <w:t xml:space="preserve"> </w:t>
      </w:r>
      <w:r>
        <w:t xml:space="preserve">deposit, openAccount (opening CREDIT), withdraw (DEBIT), transfer</w:t>
      </w:r>
      <w:r>
        <w:t xml:space="preserve"> </w:t>
      </w:r>
      <w:r>
        <w:t xml:space="preserve">(DEBIT+CREDIT), account-detail ledger UI. Still TODO: dashboard</w:t>
      </w:r>
      <w:r>
        <w:t xml:space="preserve"> </w:t>
      </w:r>
      <w:r>
        <w:rPr>
          <w:rStyle w:val="VerbatimChar"/>
        </w:rPr>
        <w:t xml:space="preserve">todayTransactionCount</w:t>
      </w:r>
      <w:r>
        <w:t xml:space="preserve">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860"/>
        <w:gridCol w:w="385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Files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AccountServiceImpl.java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com/bankone/transaction/**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Methods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deposit()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→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transactionService.record(...)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Ledger table populated on deposit;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dashboard count still stub</w:t>
            </w:r>
          </w:p>
        </w:tc>
      </w:tr>
    </w:tbl>
    <w:bookmarkEnd w:id="35"/>
    <w:bookmarkStart w:id="36" w:name="requirement-change-account-number-format"/>
    <w:p>
      <w:pPr>
        <w:pStyle w:val="Heading3"/>
      </w:pPr>
      <w:r>
        <w:t xml:space="preserve">Requirement: Change account number format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122"/>
        <w:gridCol w:w="5633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Files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AccountNumberGenerator.java</w:t>
            </w:r>
            <w:r>
              <w:rPr>
                <w:rFonts w:ascii="Calibri" w:hAnsi="Calibri"/>
                <w:sz w:val="18"/>
              </w:rPr>
              <w:t xml:space="preserve">, possibly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AccountServiceImpl.openAccount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Methods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generate(branchCode, accountType, ordinal, currency, checkDigit)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Display/search only for new accounts; old numbers unchanged</w:t>
            </w:r>
          </w:p>
        </w:tc>
      </w:tr>
    </w:tbl>
    <w:bookmarkEnd w:id="36"/>
    <w:bookmarkStart w:id="37" w:name="Xf96c044538eda50df126737877c16c9f1430888"/>
    <w:p>
      <w:pPr>
        <w:pStyle w:val="Heading3"/>
      </w:pPr>
      <w:r>
        <w:t xml:space="preserve">Requirement: Allow deposit on FROZEN accounts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10"/>
        <w:gridCol w:w="341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Files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AccountServiceImpl.java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Methods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deposit()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status check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Status rules doc; UI Deposit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button enablement</w:t>
            </w:r>
          </w:p>
        </w:tc>
      </w:tr>
    </w:tbl>
    <w:bookmarkEnd w:id="37"/>
    <w:bookmarkStart w:id="38" w:name="call-hierarchy-open-account"/>
    <w:p>
      <w:pPr>
        <w:pStyle w:val="Heading3"/>
      </w:pPr>
      <w:r>
        <w:t xml:space="preserve">Call hierarchy (open account)</w:t>
      </w:r>
    </w:p>
    <w:p>
      <w:pPr>
        <w:pStyle w:val="SourceCode"/>
      </w:pPr>
      <w:r>
        <w:rPr>
          <w:rStyle w:val="VerbatimChar"/>
        </w:rPr>
        <w:t xml:space="preserve">AccountController.openAccount()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AccountServiceImpl.openAccount()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CustomerRepository.findById()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AccountPolicyRepository.findByAccountTypeAndCurrencyCodeAndActiveTrue()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AccountRepository.getNextOrdinal()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AccountNumberGenerator.generate()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AccountRepository.save()</w:t>
      </w:r>
    </w:p>
    <w:bookmarkEnd w:id="38"/>
    <w:bookmarkStart w:id="39" w:name="call-hierarchy-deposit"/>
    <w:p>
      <w:pPr>
        <w:pStyle w:val="Heading3"/>
      </w:pPr>
      <w:r>
        <w:t xml:space="preserve">Call hierarchy (deposit)</w:t>
      </w:r>
    </w:p>
    <w:p>
      <w:pPr>
        <w:pStyle w:val="SourceCode"/>
      </w:pPr>
      <w:r>
        <w:rPr>
          <w:rStyle w:val="VerbatimChar"/>
        </w:rPr>
        <w:t xml:space="preserve">AccountController.deposit()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AccountServiceImpl.deposit()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AccountRepository.findById()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TransactionService.record(..., CREDIT, ...)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NotificationEventPublisher.publish(DEPOSIT_COMPLETE, recipientEmail)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Kafka → NotificationEventConsumer → email (SMTP/SendGrid)</w:t>
      </w:r>
    </w:p>
    <w:bookmarkEnd w:id="39"/>
    <w:bookmarkEnd w:id="40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hyperlink" Target="../CALL_FLOW.md#deposit" TargetMode="External"/><Relationship Id="rId15" Type="http://schemas.openxmlformats.org/officeDocument/2006/relationships/hyperlink" Target="../CALL_FLOW.md#get-active-account-policy" TargetMode="External"/><Relationship Id="rId13" Type="http://schemas.openxmlformats.org/officeDocument/2006/relationships/hyperlink" Target="../CALL_FLOW.md#open-account" TargetMode="External"/><Relationship Id="rId9" Type="http://schemas.openxmlformats.org/officeDocument/2006/relationships/hyperlink" Target="./Notification.md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../CALL_FLOW.md#deposit" TargetMode="External"/><Relationship Id="rId15" Type="http://schemas.openxmlformats.org/officeDocument/2006/relationships/hyperlink" Target="../CALL_FLOW.md#get-active-account-policy" TargetMode="External"/><Relationship Id="rId13" Type="http://schemas.openxmlformats.org/officeDocument/2006/relationships/hyperlink" Target="../CALL_FLOW.md#open-account" TargetMode="External"/><Relationship Id="rId9" Type="http://schemas.openxmlformats.org/officeDocument/2006/relationships/hyperlink" Target="./Notificatio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</dc:title>
  <dc:creator/>
  <cp:keywords/>
  <dcterms:created xsi:type="dcterms:W3CDTF">2026-07-25T05:39:45Z</dcterms:created>
  <dcterms:modified xsi:type="dcterms:W3CDTF">2026-07-25T05:39:45Z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