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Audit</w:t>
      </w:r>
    </w:p>
    <w:bookmarkStart w:id="28" w:name="audit"/>
    <w:p>
      <w:pPr>
        <w:pStyle w:val="Heading1"/>
      </w:pPr>
      <w:r>
        <w:t xml:space="preserve">Audit</w:t>
      </w:r>
    </w:p>
    <w:bookmarkStart w:id="9" w:name="feature-overview"/>
    <w:p>
      <w:pPr>
        <w:pStyle w:val="Heading2"/>
      </w:pPr>
      <w:r>
        <w:t xml:space="preserve">1. Feature Overview</w:t>
      </w:r>
    </w:p>
    <w:p>
      <w:pPr>
        <w:pStyle w:val="FirstParagraph"/>
      </w:pPr>
      <w:r>
        <w:t xml:space="preserve">Staff</w:t>
      </w:r>
      <w:r>
        <w:t xml:space="preserve"> </w:t>
      </w:r>
      <w:r>
        <w:rPr>
          <w:b/>
          <w:bCs/>
        </w:rPr>
        <w:t xml:space="preserve">Audit</w:t>
      </w:r>
      <w:r>
        <w:t xml:space="preserve"> </w:t>
      </w:r>
      <w:r>
        <w:t xml:space="preserve">screen and APIs provide: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Activity event trail</w:t>
      </w:r>
      <w:r>
        <w:t xml:space="preserve"> </w:t>
      </w:r>
      <w:r>
        <w:t xml:space="preserve">(</w:t>
      </w:r>
      <w:r>
        <w:rPr>
          <w:rStyle w:val="VerbatimChar"/>
        </w:rPr>
        <w:t xml:space="preserve">audit_event</w:t>
      </w:r>
      <w:r>
        <w:t xml:space="preserve">) — categorized actions across</w:t>
      </w:r>
      <w:r>
        <w:t xml:space="preserve"> </w:t>
      </w:r>
      <w:r>
        <w:t xml:space="preserve">AUTH, CUSTOMER, ACCOUNT, TRANSFER, PORTAL, STAFF, ROLE, POLICY.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Transfer approval history</w:t>
      </w:r>
      <w:r>
        <w:t xml:space="preserve"> </w:t>
      </w:r>
      <w:r>
        <w:t xml:space="preserve">— resolved portal transfer requests</w:t>
      </w:r>
      <w:r>
        <w:t xml:space="preserve"> </w:t>
      </w:r>
      <w:r>
        <w:t xml:space="preserve">(approve / reject / executed).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Historical backfill</w:t>
      </w:r>
      <w:r>
        <w:t xml:space="preserve"> </w:t>
      </w:r>
      <w:r>
        <w:t xml:space="preserve">— rebuild missing events from existing domain</w:t>
      </w:r>
      <w:r>
        <w:t xml:space="preserve"> </w:t>
      </w:r>
      <w:r>
        <w:t xml:space="preserve">tables (Admin only). Idempotent; safe to re-run.</w:t>
      </w:r>
    </w:p>
    <w:p>
      <w:pPr>
        <w:pStyle w:val="FirstParagraph"/>
      </w:pPr>
      <w:r>
        <w:t xml:space="preserve">Login/logout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deploy are recorded under category</w:t>
      </w:r>
      <w:r>
        <w:t xml:space="preserve"> </w:t>
      </w:r>
      <w:r>
        <w:rPr>
          <w:rStyle w:val="VerbatimChar"/>
        </w:rPr>
        <w:t xml:space="preserve">AUTH</w:t>
      </w:r>
      <w:r>
        <w:t xml:space="preserve">. Past</w:t>
      </w:r>
      <w:r>
        <w:t xml:space="preserve"> </w:t>
      </w:r>
      <w:r>
        <w:t xml:space="preserve">logins cannot be recovered (never stored historically).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 (activity trail + approval history + backfill)</w:t>
      </w:r>
    </w:p>
    <w:bookmarkEnd w:id="9"/>
    <w:bookmarkStart w:id="10" w:name="business-purpose"/>
    <w:p>
      <w:pPr>
        <w:pStyle w:val="Heading2"/>
      </w:pPr>
      <w:r>
        <w:t xml:space="preserve">2. Business Purpose</w:t>
      </w:r>
    </w:p>
    <w:p>
      <w:pPr>
        <w:pStyle w:val="FirstParagraph"/>
      </w:pPr>
      <w:r>
        <w:t xml:space="preserve">Compliance and investigation: who did what, on which target, when.</w:t>
      </w:r>
      <w:r>
        <w:t xml:space="preserve"> </w:t>
      </w:r>
      <w:r>
        <w:t xml:space="preserve">Separate</w:t>
      </w:r>
      <w:r>
        <w:t xml:space="preserve"> </w:t>
      </w:r>
      <w:r>
        <w:rPr>
          <w:b/>
          <w:bCs/>
        </w:rPr>
        <w:t xml:space="preserve">Login / Logout</w:t>
      </w:r>
      <w:r>
        <w:t xml:space="preserve"> </w:t>
      </w:r>
      <w:r>
        <w:t xml:space="preserve">from business mutations.</w:t>
      </w:r>
    </w:p>
    <w:bookmarkEnd w:id="10"/>
    <w:bookmarkStart w:id="11" w:name="user-workflow"/>
    <w:p>
      <w:pPr>
        <w:pStyle w:val="Heading2"/>
      </w:pPr>
      <w:r>
        <w:t xml:space="preserve">3. User Workflow</w:t>
      </w:r>
    </w:p>
    <w:p>
      <w:pPr>
        <w:pStyle w:val="Compact"/>
        <w:numPr>
          <w:ilvl w:val="0"/>
          <w:numId w:val="1002"/>
        </w:numPr>
      </w:pPr>
      <w:r>
        <w:t xml:space="preserve">Login as ADMIN, MANAGER, or AUDITOR.</w:t>
      </w:r>
    </w:p>
    <w:p>
      <w:pPr>
        <w:pStyle w:val="Compact"/>
        <w:numPr>
          <w:ilvl w:val="0"/>
          <w:numId w:val="1002"/>
        </w:numPr>
      </w:pPr>
      <w:r>
        <w:t xml:space="preserve">Sidebar →</w:t>
      </w:r>
      <w:r>
        <w:t xml:space="preserve"> </w:t>
      </w:r>
      <w:r>
        <w:rPr>
          <w:b/>
          <w:bCs/>
        </w:rPr>
        <w:t xml:space="preserve">Audit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Filter by category tabs (All, Login/Logout, Customer, Account, …) and</w:t>
      </w:r>
      <w:r>
        <w:t xml:space="preserve"> </w:t>
      </w:r>
      <w:r>
        <w:t xml:space="preserve">optional actor username.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Approval history</w:t>
      </w:r>
      <w:r>
        <w:t xml:space="preserve"> </w:t>
      </w:r>
      <w:r>
        <w:t xml:space="preserve">tab → resolved transfer approvals detail.</w:t>
      </w:r>
    </w:p>
    <w:p>
      <w:pPr>
        <w:pStyle w:val="Compact"/>
        <w:numPr>
          <w:ilvl w:val="0"/>
          <w:numId w:val="1002"/>
        </w:numPr>
      </w:pPr>
      <w:r>
        <w:t xml:space="preserve">Admin may click</w:t>
      </w:r>
      <w:r>
        <w:t xml:space="preserve"> </w:t>
      </w:r>
      <w:r>
        <w:rPr>
          <w:b/>
          <w:bCs/>
        </w:rPr>
        <w:t xml:space="preserve">Backfill history</w:t>
      </w:r>
      <w:r>
        <w:t xml:space="preserve"> </w:t>
      </w:r>
      <w:r>
        <w:t xml:space="preserve">once after upgrade.</w:t>
      </w:r>
    </w:p>
    <w:bookmarkEnd w:id="11"/>
    <w:bookmarkStart w:id="15" w:name="execution-flow"/>
    <w:p>
      <w:pPr>
        <w:pStyle w:val="Heading2"/>
      </w:pPr>
      <w:r>
        <w:t xml:space="preserve">4. Execution Flow</w:t>
      </w:r>
    </w:p>
    <w:bookmarkStart w:id="12" w:name="live-write"/>
    <w:p>
      <w:pPr>
        <w:pStyle w:val="Heading3"/>
      </w:pPr>
      <w:r>
        <w:t xml:space="preserve">Live write</w:t>
      </w:r>
    </w:p>
    <w:p>
      <w:pPr>
        <w:pStyle w:val="SourceCode"/>
      </w:pPr>
      <w:r>
        <w:rPr>
          <w:rStyle w:val="VerbatimChar"/>
        </w:rPr>
        <w:t xml:space="preserve">DomainService.mutatingOp()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AuditEventService.record(...)   // REQUIRES_NEW, best-effort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audit_event row</w:t>
      </w:r>
    </w:p>
    <w:bookmarkEnd w:id="12"/>
    <w:bookmarkStart w:id="13" w:name="login-logout"/>
    <w:p>
      <w:pPr>
        <w:pStyle w:val="Heading3"/>
      </w:pPr>
      <w:r>
        <w:t xml:space="preserve">Login / logout</w:t>
      </w:r>
    </w:p>
    <w:p>
      <w:pPr>
        <w:pStyle w:val="SourceCode"/>
      </w:pPr>
      <w:r>
        <w:rPr>
          <w:rStyle w:val="VerbatimChar"/>
        </w:rPr>
        <w:t xml:space="preserve">AuthenticationService.login / logout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AuditEventService.recordForUser / record  (AUTH)</w:t>
      </w:r>
    </w:p>
    <w:bookmarkEnd w:id="13"/>
    <w:bookmarkStart w:id="14" w:name="backfill"/>
    <w:p>
      <w:pPr>
        <w:pStyle w:val="Heading3"/>
      </w:pPr>
      <w:r>
        <w:t xml:space="preserve">Backfill</w:t>
      </w:r>
    </w:p>
    <w:p>
      <w:pPr>
        <w:pStyle w:val="SourceCode"/>
      </w:pPr>
      <w:r>
        <w:rPr>
          <w:rStyle w:val="VerbatimChar"/>
        </w:rPr>
        <w:t xml:space="preserve">POST /audit/backfill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AuditBackfillService.backfill()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Read customers, accounts, transactions, transfer_request,</w:t>
      </w:r>
      <w:r>
        <w:br/>
      </w:r>
      <w:r>
        <w:rPr>
          <w:rStyle w:val="VerbatimChar"/>
        </w:rPr>
        <w:t xml:space="preserve">beneficiary, users, roles → insert missing keys only</w:t>
      </w:r>
    </w:p>
    <w:bookmarkEnd w:id="14"/>
    <w:bookmarkEnd w:id="15"/>
    <w:bookmarkStart w:id="17" w:name="database-tables"/>
    <w:p>
      <w:pPr>
        <w:pStyle w:val="Heading2"/>
      </w:pPr>
      <w:r>
        <w:t xml:space="preserve">5. Database Tables</w:t>
      </w:r>
    </w:p>
    <w:bookmarkStart w:id="16" w:name="audit_event"/>
    <w:p>
      <w:pPr>
        <w:pStyle w:val="Heading3"/>
      </w:pPr>
      <w:r>
        <w:rPr>
          <w:rStyle w:val="VerbatimChar"/>
        </w:rPr>
        <w:t xml:space="preserve">audit_event</w:t>
      </w:r>
    </w:p>
    <w:p>
      <w:pPr>
        <w:pStyle w:val="FirstParagraph"/>
      </w:pPr>
      <w:r>
        <w:t xml:space="preserve">Entity:</w:t>
      </w:r>
      <w:r>
        <w:t xml:space="preserve"> </w:t>
      </w:r>
      <w:r>
        <w:rPr>
          <w:rStyle w:val="VerbatimChar"/>
        </w:rPr>
        <w:t xml:space="preserve">com.bankone.audit.entity.AuditEventEntity</w:t>
      </w:r>
    </w:p>
    <w:tbl>
      <w:tblPr>
        <w:tblStyle w:val="Table"/>
        <w:tblW w:type="pct" w:w="4865"/>
        <w:tblLayout w:type="fixed"/>
        <w:tblLook w:firstRow="1" w:lastRow="0" w:firstColumn="0" w:lastColumn="0" w:noHBand="0" w:noVBand="0" w:val="0020"/>
      </w:tblPr>
      <w:tblGrid>
        <w:gridCol w:w="2140"/>
        <w:gridCol w:w="556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Enum string: AUTH, CUSTOMER, ACCOUNT, TRANSFER,</w:t>
            </w:r>
            <w:r>
              <w:t xml:space="preserve"> </w:t>
            </w:r>
            <w:r>
              <w:t xml:space="preserve">STAFF, ROLE, POLICY, PORTAL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Stable code (</w:t>
            </w:r>
            <w:r>
              <w:rPr>
                <w:rStyle w:val="VerbatimChar"/>
              </w:rPr>
              <w:t xml:space="preserve">AuditAction</w:t>
            </w:r>
            <w:r>
              <w:t xml:space="preserve">), e.g. LOGIN,</w:t>
            </w:r>
            <w:r>
              <w:t xml:space="preserve"> </w:t>
            </w:r>
            <w:r>
              <w:t xml:space="preserve">ACCOUNT_DEPOSIT, TRANSFER_APPROVED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actor_username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performed the action (nullable for system /</w:t>
            </w:r>
            <w:r>
              <w:t xml:space="preserve"> </w:t>
            </w:r>
            <w:r>
              <w:t xml:space="preserve">backfill)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actor_user_id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 user 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target_type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target_id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was touched (CUSTOMER, ACCOUNT, TRANSACTION,</w:t>
            </w:r>
            <w:r>
              <w:t xml:space="preserve"> </w:t>
            </w:r>
            <w:r>
              <w:t xml:space="preserve">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details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Human text + optional details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 for LOGIN_FAILED etc.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 time (historical for backfill)</w:t>
            </w:r>
          </w:p>
        </w:tc>
      </w:tr>
    </w:tbl>
    <w:p>
      <w:pPr>
        <w:pStyle w:val="BodyText"/>
      </w:pPr>
      <w:r>
        <w:t xml:space="preserve">Indexes: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,</w:t>
      </w:r>
      <w:r>
        <w:t xml:space="preserve"> </w:t>
      </w:r>
      <w:r>
        <w:rPr>
          <w:rStyle w:val="VerbatimChar"/>
        </w:rPr>
        <w:t xml:space="preserve">actor_username</w:t>
      </w:r>
      <w:r>
        <w:t xml:space="preserve">.</w:t>
      </w:r>
    </w:p>
    <w:bookmarkEnd w:id="16"/>
    <w:bookmarkEnd w:id="17"/>
    <w:bookmarkStart w:id="18" w:name="rest-apis"/>
    <w:p>
      <w:pPr>
        <w:pStyle w:val="Heading2"/>
      </w:pPr>
      <w:r>
        <w:t xml:space="preserve">6. REST APIs</w:t>
      </w:r>
    </w:p>
    <w:p>
      <w:pPr>
        <w:pStyle w:val="FirstParagraph"/>
      </w:pPr>
      <w:r>
        <w:t xml:space="preserve">Base:</w:t>
      </w:r>
      <w:r>
        <w:t xml:space="preserve"> </w:t>
      </w:r>
      <w:r>
        <w:rPr>
          <w:rStyle w:val="VerbatimChar"/>
        </w:rPr>
        <w:t xml:space="preserve">/audit</w:t>
      </w:r>
      <w:r>
        <w:t xml:space="preserve"> </w:t>
      </w:r>
      <w:r>
        <w:t xml:space="preserve">— roles</w:t>
      </w:r>
      <w:r>
        <w:t xml:space="preserve"> </w:t>
      </w:r>
      <w:r>
        <w:rPr>
          <w:b/>
          <w:bCs/>
        </w:rPr>
        <w:t xml:space="preserve">ADMIN | MANAGER | AUDITOR</w:t>
      </w:r>
    </w:p>
    <w:tbl>
      <w:tblPr>
        <w:tblStyle w:val="Table"/>
        <w:tblW w:type="pct" w:w="4865"/>
        <w:tblLayout w:type="fixed"/>
        <w:tblLook w:firstRow="1" w:lastRow="0" w:firstColumn="0" w:lastColumn="0" w:noHBand="0" w:noVBand="0" w:val="0020"/>
      </w:tblPr>
      <w:tblGrid>
        <w:gridCol w:w="963"/>
        <w:gridCol w:w="2675"/>
        <w:gridCol w:w="406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/audit/events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Page of events. Query: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/audit/transfer-       F approvals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ull resolved approval 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/audit/backfill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ADMIN only.</w:t>
            </w:r>
            <w:r>
              <w:t xml:space="preserve"> </w:t>
            </w:r>
            <w:r>
              <w:t xml:space="preserve">Rebuild missing</w:t>
            </w:r>
            <w:r>
              <w:t xml:space="preserve"> </w:t>
            </w:r>
            <w:r>
              <w:t xml:space="preserve">historical events. Returns</w:t>
            </w:r>
            <w:r>
              <w:t xml:space="preserve"> </w:t>
            </w:r>
            <w:r>
              <w:rPr>
                <w:rStyle w:val="VerbatimChar"/>
              </w:rPr>
              <w:t xml:space="preserve">{ inserted, skipped, insertedBySource }</w:t>
            </w:r>
          </w:p>
        </w:tc>
      </w:tr>
    </w:tbl>
    <w:p>
      <w:pPr>
        <w:pStyle w:val="BodyText"/>
      </w:pPr>
      <w:r>
        <w:t xml:space="preserve">Also:</w:t>
      </w:r>
      <w:r>
        <w:t xml:space="preserve"> </w:t>
      </w:r>
      <w:r>
        <w:rPr>
          <w:rStyle w:val="VerbatimChar"/>
        </w:rPr>
        <w:t xml:space="preserve">POST /auth/logout</w:t>
      </w:r>
      <w:r>
        <w:t xml:space="preserve"> </w:t>
      </w:r>
      <w:r>
        <w:t xml:space="preserve">records AUTH LOGOUT (authenticated).</w:t>
      </w:r>
    </w:p>
    <w:bookmarkEnd w:id="18"/>
    <w:bookmarkStart w:id="19" w:name="code-map"/>
    <w:p>
      <w:pPr>
        <w:pStyle w:val="Heading2"/>
      </w:pPr>
      <w:r>
        <w:t xml:space="preserve">7–13. Code map</w:t>
      </w:r>
    </w:p>
    <w:tbl>
      <w:tblPr>
        <w:tblStyle w:val="Table"/>
        <w:tblW w:type="pct" w:w="4865"/>
        <w:tblLayout w:type="fixed"/>
        <w:tblLook w:firstRow="1" w:lastRow="0" w:firstColumn="0" w:lastColumn="0" w:noHBand="0" w:noVBand="0" w:val="0020"/>
      </w:tblPr>
      <w:tblGrid>
        <w:gridCol w:w="1391"/>
        <w:gridCol w:w="631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AuditController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AuditEventService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AuditBackfillService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AuditCategory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Entity /</w:t>
            </w:r>
            <w:r>
              <w:t xml:space="preserve"> </w:t>
            </w:r>
            <w:r>
              <w:t xml:space="preserve">DTO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AuditEventEntity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AuditEventRepository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AuditEventResponse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AuditBackfillResult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Frontend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features/audit/*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PortalService.listAuditEvents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backfillAuditHistory</w:t>
            </w:r>
          </w:p>
        </w:tc>
      </w:tr>
    </w:tbl>
    <w:p>
      <w:pPr>
        <w:pStyle w:val="BodyText"/>
      </w:pPr>
      <w:r>
        <w:t xml:space="preserve">Instrumentation sites (examples):</w:t>
      </w:r>
      <w:r>
        <w:t xml:space="preserve"> </w:t>
      </w:r>
      <w:r>
        <w:rPr>
          <w:rStyle w:val="VerbatimChar"/>
        </w:rPr>
        <w:t xml:space="preserve">AuthenticationService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CustomerServiceImpl</w:t>
      </w:r>
      <w:r>
        <w:t xml:space="preserve">,</w:t>
      </w:r>
      <w:r>
        <w:t xml:space="preserve"> </w:t>
      </w:r>
      <w:r>
        <w:rPr>
          <w:rStyle w:val="VerbatimChar"/>
        </w:rPr>
        <w:t xml:space="preserve">AccountServiceImpl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TransferApprovalService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PortalTransferService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BeneficiaryService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RoleService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AccountPolicyServiceImpl</w:t>
      </w:r>
      <w:r>
        <w:t xml:space="preserve">.</w:t>
      </w:r>
    </w:p>
    <w:bookmarkEnd w:id="19"/>
    <w:bookmarkStart w:id="20" w:name="validation-rules"/>
    <w:p>
      <w:pPr>
        <w:pStyle w:val="Heading2"/>
      </w:pPr>
      <w:r>
        <w:t xml:space="preserve">14. Validation Rules</w:t>
      </w:r>
    </w:p>
    <w:p>
      <w:pPr>
        <w:pStyle w:val="FirstParagraph"/>
      </w:pPr>
      <w:r>
        <w:t xml:space="preserve">Backfill skips rows whose</w:t>
      </w:r>
      <w:r>
        <w:t xml:space="preserve"> </w:t>
      </w:r>
      <w:r>
        <w:rPr>
          <w:rStyle w:val="VerbatimChar"/>
        </w:rPr>
        <w:t xml:space="preserve">(action, target_type, target_id)</w:t>
      </w:r>
      <w:r>
        <w:t xml:space="preserve"> </w:t>
      </w:r>
      <w:r>
        <w:t xml:space="preserve">already</w:t>
      </w:r>
      <w:r>
        <w:t xml:space="preserve"> </w:t>
      </w:r>
      <w:r>
        <w:t xml:space="preserve">exist. Page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capped at 100 in search.</w:t>
      </w:r>
    </w:p>
    <w:bookmarkEnd w:id="20"/>
    <w:bookmarkStart w:id="21" w:name="security-rules"/>
    <w:p>
      <w:pPr>
        <w:pStyle w:val="Heading2"/>
      </w:pPr>
      <w:r>
        <w:t xml:space="preserve">15. Security Rules</w:t>
      </w:r>
    </w:p>
    <w:p>
      <w:pPr>
        <w:pStyle w:val="Compact"/>
        <w:numPr>
          <w:ilvl w:val="0"/>
          <w:numId w:val="1003"/>
        </w:numPr>
      </w:pPr>
      <w:r>
        <w:t xml:space="preserve">Read audit: ADMIN, MANAGER, AUDITOR</w:t>
      </w:r>
    </w:p>
    <w:p>
      <w:pPr>
        <w:pStyle w:val="Compact"/>
        <w:numPr>
          <w:ilvl w:val="0"/>
          <w:numId w:val="1003"/>
        </w:numPr>
      </w:pPr>
      <w:r>
        <w:t xml:space="preserve">Backfill: ADMIN only</w:t>
      </w:r>
    </w:p>
    <w:p>
      <w:pPr>
        <w:pStyle w:val="Compact"/>
        <w:numPr>
          <w:ilvl w:val="0"/>
          <w:numId w:val="1003"/>
        </w:numPr>
      </w:pPr>
      <w:r>
        <w:t xml:space="preserve">Never public</w:t>
      </w:r>
    </w:p>
    <w:bookmarkEnd w:id="21"/>
    <w:bookmarkStart w:id="22" w:name="exception-handling"/>
    <w:p>
      <w:pPr>
        <w:pStyle w:val="Heading2"/>
      </w:pPr>
      <w:r>
        <w:t xml:space="preserve">16. Exception Handling</w:t>
      </w:r>
    </w:p>
    <w:p>
      <w:pPr>
        <w:pStyle w:val="FirstParagraph"/>
      </w:pPr>
      <w:r>
        <w:t xml:space="preserve">Live</w:t>
      </w:r>
      <w:r>
        <w:t xml:space="preserve"> </w:t>
      </w:r>
      <w:r>
        <w:rPr>
          <w:rStyle w:val="VerbatimChar"/>
        </w:rPr>
        <w:t xml:space="preserve">record()</w:t>
      </w:r>
      <w:r>
        <w:t xml:space="preserve"> </w:t>
      </w:r>
      <w:r>
        <w:t xml:space="preserve">swallows write failures (log warn) so business TX is not</w:t>
      </w:r>
      <w:r>
        <w:t xml:space="preserve"> </w:t>
      </w:r>
      <w:r>
        <w:t xml:space="preserve">failed by audit. Backfill failures surface as API 500 (fixed lazy-load</w:t>
      </w:r>
      <w:r>
        <w:t xml:space="preserve"> </w:t>
      </w:r>
      <w:r>
        <w:t xml:space="preserve">via join-fetch).</w:t>
      </w:r>
    </w:p>
    <w:bookmarkEnd w:id="22"/>
    <w:bookmarkStart w:id="23" w:name="logging"/>
    <w:p>
      <w:pPr>
        <w:pStyle w:val="Heading2"/>
      </w:pPr>
      <w:r>
        <w:t xml:space="preserve">17. Logging</w:t>
      </w:r>
    </w:p>
    <w:p>
      <w:pPr>
        <w:pStyle w:val="FirstParagraph"/>
      </w:pPr>
      <w:r>
        <w:t xml:space="preserve">App logs ≠ durable audit. Prefer</w:t>
      </w:r>
      <w:r>
        <w:t xml:space="preserve"> </w:t>
      </w:r>
      <w:r>
        <w:rPr>
          <w:rStyle w:val="VerbatimChar"/>
        </w:rPr>
        <w:t xml:space="preserve">audit_event</w:t>
      </w:r>
      <w:r>
        <w:t xml:space="preserve"> </w:t>
      </w:r>
      <w:r>
        <w:t xml:space="preserve">for investigations.</w:t>
      </w:r>
    </w:p>
    <w:bookmarkEnd w:id="23"/>
    <w:bookmarkStart w:id="24" w:name="audit-events-categories"/>
    <w:p>
      <w:pPr>
        <w:pStyle w:val="Heading2"/>
      </w:pPr>
      <w:r>
        <w:t xml:space="preserve">18. Audit Events (categories)</w:t>
      </w:r>
    </w:p>
    <w:tbl>
      <w:tblPr>
        <w:tblStyle w:val="Table"/>
        <w:tblW w:type="pct" w:w="4865"/>
        <w:tblLayout w:type="fixed"/>
        <w:tblLook w:firstRow="1" w:lastRow="0" w:firstColumn="0" w:lastColumn="0" w:noHBand="0" w:noVBand="0" w:val="0020"/>
      </w:tblPr>
      <w:tblGrid>
        <w:gridCol w:w="1284"/>
        <w:gridCol w:w="642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LOGIN, LOGIN_FAILED, LOGOUT, CHANGE_PASSWORD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CUSTOMER_CREATE, CUSTOMER_UPDATE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ACCOUNT_OPEN, DEPOSIT, WITHDRAW, TRANSFER, STATUS_CHANGE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TRANSFER_APPROVED, TRANSFER_REJECTED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TRANSFER_REQUESTED, PORTAL_TRANSFER, BENEFICIARY_*,</w:t>
            </w:r>
            <w:r>
              <w:t xml:space="preserve"> </w:t>
            </w:r>
            <w:r>
              <w:t xml:space="preserve">portal USER_CREATE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USER_CREATE / UPDATE (employees)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ROLE_CREATE / UPDATE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POLICY_UPDATE</w:t>
            </w:r>
          </w:p>
        </w:tc>
      </w:tr>
    </w:tbl>
    <w:bookmarkEnd w:id="24"/>
    <w:bookmarkStart w:id="25" w:name="testing-strategy"/>
    <w:p>
      <w:pPr>
        <w:pStyle w:val="Heading2"/>
      </w:pPr>
      <w:r>
        <w:t xml:space="preserve">19. Testing Strategy</w:t>
      </w:r>
    </w:p>
    <w:p>
      <w:pPr>
        <w:pStyle w:val="Compact"/>
        <w:numPr>
          <w:ilvl w:val="0"/>
          <w:numId w:val="1004"/>
        </w:numPr>
      </w:pPr>
      <w:r>
        <w:t xml:space="preserve">Login → AUTH event</w:t>
      </w:r>
    </w:p>
    <w:p>
      <w:pPr>
        <w:pStyle w:val="Compact"/>
        <w:numPr>
          <w:ilvl w:val="0"/>
          <w:numId w:val="1004"/>
        </w:numPr>
      </w:pPr>
      <w:r>
        <w:t xml:space="preserve">Deposit → ACCOUNT_DEPOSIT</w:t>
      </w:r>
    </w:p>
    <w:p>
      <w:pPr>
        <w:pStyle w:val="Compact"/>
        <w:numPr>
          <w:ilvl w:val="0"/>
          <w:numId w:val="1004"/>
        </w:numPr>
      </w:pPr>
      <w:r>
        <w:t xml:space="preserve">Backfill twice → second run</w:t>
      </w:r>
      <w:r>
        <w:t xml:space="preserve"> </w:t>
      </w:r>
      <w:r>
        <w:rPr>
          <w:rStyle w:val="VerbatimChar"/>
        </w:rPr>
        <w:t xml:space="preserve">inserted=0</w:t>
      </w:r>
      <w:r>
        <w:t xml:space="preserve">, high</w:t>
      </w:r>
      <w:r>
        <w:t xml:space="preserve"> </w:t>
      </w:r>
      <w:r>
        <w:rPr>
          <w:rStyle w:val="VerbatimChar"/>
        </w:rPr>
        <w:t xml:space="preserve">skipped</w:t>
      </w:r>
    </w:p>
    <w:p>
      <w:pPr>
        <w:pStyle w:val="Compact"/>
        <w:numPr>
          <w:ilvl w:val="0"/>
          <w:numId w:val="1004"/>
        </w:numPr>
      </w:pPr>
      <w:r>
        <w:t xml:space="preserve">Non-admin POST backfill → 403</w:t>
      </w:r>
    </w:p>
    <w:bookmarkEnd w:id="25"/>
    <w:bookmarkStart w:id="27" w:name="future-extension-guide"/>
    <w:p>
      <w:pPr>
        <w:pStyle w:val="Heading2"/>
      </w:pPr>
      <w:r>
        <w:t xml:space="preserve">20. Future Extension Guide</w:t>
      </w:r>
    </w:p>
    <w:p>
      <w:pPr>
        <w:pStyle w:val="FirstParagraph"/>
      </w:pPr>
      <w:r>
        <w:t xml:space="preserve">See</w:t>
      </w:r>
      <w:r>
        <w:t xml:space="preserve"> </w:t>
      </w:r>
      <w:hyperlink r:id="rId26">
        <w:r>
          <w:rPr>
            <w:rStyle w:val="Hyperlink"/>
          </w:rPr>
          <w:t xml:space="preserve">TECH_LEARNING_PLAN.md</w:t>
        </w:r>
      </w:hyperlink>
      <w:r>
        <w:t xml:space="preserve">: correlation IDs on</w:t>
      </w:r>
      <w:r>
        <w:t xml:space="preserve"> </w:t>
      </w:r>
      <w:r>
        <w:t xml:space="preserve">events, cursor pagination, purge job for old rows.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1" w:name="future-modification-guide"/>
    <w:p>
      <w:pPr>
        <w:pStyle w:val="Heading1"/>
      </w:pPr>
      <w:r>
        <w:t xml:space="preserve">Future Modification Guide</w:t>
      </w:r>
    </w:p>
    <w:bookmarkStart w:id="29" w:name="Xf1e6b6377c042d4b5a1296b0ce9ce8c24fdb2ea"/>
    <w:p>
      <w:pPr>
        <w:pStyle w:val="Heading3"/>
      </w:pPr>
      <w:r>
        <w:t xml:space="preserve">Requirement: Add correlation id to every event</w:t>
      </w:r>
    </w:p>
    <w:tbl>
      <w:tblPr>
        <w:tblStyle w:val="Table"/>
        <w:tblW w:type="pct" w:w="4865"/>
        <w:tblLayout w:type="fixed"/>
        <w:tblLook w:firstRow="1" w:lastRow="0" w:firstColumn="0" w:lastColumn="0" w:noHBand="0" w:noVBand="0" w:val="0020"/>
      </w:tblPr>
      <w:tblGrid>
        <w:gridCol w:w="963"/>
        <w:gridCol w:w="67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filter +</w:t>
            </w:r>
            <w:r>
              <w:t xml:space="preserve"> </w:t>
            </w:r>
            <w:r>
              <w:rPr>
                <w:rStyle w:val="VerbatimChar"/>
              </w:rPr>
              <w:t xml:space="preserve">AuditEventEntity.correlationId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AuditEventService.record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Observability; optional Kafka header reuse</w:t>
            </w:r>
          </w:p>
        </w:tc>
      </w:tr>
    </w:tbl>
    <w:bookmarkEnd w:id="29"/>
    <w:bookmarkStart w:id="30" w:name="call-hierarchy-live-deposit"/>
    <w:p>
      <w:pPr>
        <w:pStyle w:val="Heading3"/>
      </w:pPr>
      <w:r>
        <w:t xml:space="preserve">Call hierarchy (live deposit)</w:t>
      </w:r>
    </w:p>
    <w:p>
      <w:pPr>
        <w:pStyle w:val="SourceCode"/>
      </w:pPr>
      <w:r>
        <w:rPr>
          <w:rStyle w:val="VerbatimChar"/>
        </w:rPr>
        <w:t xml:space="preserve">AccountServiceImpl.deposit()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AuditEventService.record(ACCOUNT, ACCOUNT_DEPOSIT, ...)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AuditEventRepository.save()</w:t>
      </w:r>
    </w:p>
    <w:bookmarkEnd w:id="30"/>
    <w:bookmarkEnd w:id="31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60" w:before="0" w:line="276" w:lineRule="auto"/>
    </w:pPr>
    <w:rPr>
      <w:rFonts w:ascii="Calibri" w:cs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200" w:before="360" w:line="288" w:lineRule="auto"/>
      <w:outlineLvl w:val="0"/>
    </w:pPr>
    <w:rPr>
      <w:rFonts w:ascii="Calibri" w:asciiTheme="majorHAnsi" w:cs="Calibri" w:cstheme="majorBidi" w:eastAsiaTheme="majorEastAsia" w:hAnsi="Calibri" w:hAnsiTheme="majorHAnsi"/>
      <w:b/>
      <w:bCs/>
      <w:color w:val="1A365D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60" w:before="280" w:line="288" w:lineRule="auto"/>
      <w:outlineLvl w:val="1"/>
    </w:pPr>
    <w:rPr>
      <w:rFonts w:ascii="Calibri" w:asciiTheme="majorHAnsi" w:cs="Calibri" w:cstheme="majorBidi" w:eastAsiaTheme="majorEastAsia" w:hAnsi="Calibri" w:hAnsiTheme="majorHAnsi"/>
      <w:b/>
      <w:bCs/>
      <w:color w:val="2C5282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40" w:line="288" w:lineRule="auto"/>
      <w:outlineLvl w:val="2"/>
    </w:pPr>
    <w:rPr>
      <w:rFonts w:ascii="Calibri" w:asciiTheme="majorHAnsi" w:cs="Calibri" w:cstheme="majorBidi" w:eastAsiaTheme="majorEastAsia" w:hAnsi="Calibri" w:hAnsiTheme="majorHAnsi"/>
      <w:b/>
      <w:bCs/>
      <w:color w:val="333333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20" w:before="0" w:line="288" w:lineRule="auto"/>
      <w:contextualSpacing/>
      <w:jc w:val="left"/>
    </w:pPr>
    <w:rPr>
      <w:rFonts w:ascii="Calibri" w:asciiTheme="majorHAnsi" w:cs="Calibri" w:cstheme="majorBidi" w:eastAsiaTheme="majorEastAsia" w:hAnsi="Calibri" w:hAnsiTheme="majorHAnsi"/>
      <w:b/>
      <w:color w:val="1A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spacing w:after="40" w:before="40" w:line="276" w:lineRule="auto"/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customStyle="1" w:styleId="Code" w:type="paragraph">
    <w:name w:val="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../TECH_LEARNING_PLA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TECH_LEARNING_PLA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Audit</dc:title>
  <dc:creator/>
  <cp:keywords/>
  <dcterms:created xsi:type="dcterms:W3CDTF">2026-07-31T07:23:31Z</dcterms:created>
  <dcterms:modified xsi:type="dcterms:W3CDTF">2026-07-31T07:23:31Z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