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center"/>
      </w:pPr>
      <w:r>
        <w:rPr>
          <w:rFonts w:ascii="Times New Roman" w:hAnsi="Times New Roman"/>
          <w:b/>
          <w:color w:val="1B365D"/>
          <w:sz w:val="32"/>
        </w:rPr>
        <w:t>ЗАЯВКА НА ГРАНТОВЫЙ КОНКУРС / ПРОЕКТ</w:t>
      </w:r>
    </w:p>
    <w:p>
      <w:pPr>
        <w:keepNext/>
        <w:spacing w:before="280" w:after="120"/>
      </w:pPr>
      <w:r>
        <w:rPr>
          <w:rFonts w:ascii="Times New Roman" w:hAnsi="Times New Roman"/>
          <w:b/>
          <w:color w:val="1B365D"/>
          <w:sz w:val="30"/>
        </w:rPr>
        <w:t>1. ТЕКСТ ПРОЕКТА (для заполнения раздела «Проекты»)</w:t>
      </w:r>
    </w:p>
    <w:p>
      <w:pPr>
        <w:keepNext/>
        <w:spacing w:before="200" w:after="80"/>
      </w:pPr>
      <w:r>
        <w:rPr>
          <w:rFonts w:ascii="Times New Roman" w:hAnsi="Times New Roman"/>
          <w:b/>
          <w:color w:val="2C3E50"/>
          <w:sz w:val="26"/>
        </w:rPr>
        <w:t>Название проекта</w:t>
      </w:r>
    </w:p>
    <w:p>
      <w:pPr>
        <w:jc w:val="both"/>
      </w:pPr>
      <w:r>
        <w:rPr>
          <w:rFonts w:ascii="Times New Roman" w:hAnsi="Times New Roman"/>
          <w:i w:val="0"/>
          <w:sz w:val="24"/>
        </w:rPr>
        <w:t>МедСим — интерактивный тренажёр клинического мышления для ординаторов и студентов 3–6 курса медицинского вуза.</w:t>
      </w:r>
    </w:p>
    <w:p>
      <w:pPr>
        <w:keepNext/>
        <w:spacing w:before="200" w:after="80"/>
      </w:pPr>
      <w:r>
        <w:rPr>
          <w:rFonts w:ascii="Times New Roman" w:hAnsi="Times New Roman"/>
          <w:b/>
          <w:color w:val="2C3E50"/>
          <w:sz w:val="26"/>
        </w:rPr>
        <w:t>Проблема и актуальность</w:t>
      </w:r>
    </w:p>
    <w:p>
      <w:pPr>
        <w:jc w:val="both"/>
      </w:pPr>
      <w:r>
        <w:rPr>
          <w:rFonts w:ascii="Times New Roman" w:hAnsi="Times New Roman"/>
          <w:i w:val="0"/>
          <w:sz w:val="24"/>
        </w:rPr>
        <w:t>Классическое медицинское образование в России строится на теоретических лекциях и разборе случаев на бумаге. Студент годами накапливает знания, но реальный навык принятия быстрых клинических решений — в условиях неполной информации и ограниченного времени — формируется только на практике, в клинике. К этому моменту цена ошибки — реальный пациент.</w:t>
      </w:r>
    </w:p>
    <w:p>
      <w:pPr>
        <w:jc w:val="both"/>
      </w:pPr>
      <w:r>
        <w:rPr>
          <w:rFonts w:ascii="Times New Roman" w:hAnsi="Times New Roman"/>
          <w:i w:val="0"/>
          <w:sz w:val="24"/>
        </w:rPr>
        <w:t>При этом в мире активно развивается направление медицинских симуляторов (Body Interact, Full Code Medical и аналоги), но большинство таких решений — дорогие корпоративные продукты для симуляционных центров, недоступные рядовому студенту для самостоятельной тренировки. Помимо прочего, все подобные сервисы базируются в дальнем зарубежье, не имеют русской локализации и основаны на иностранных протоколах оказания медицинской помощи, почти все недоступны для оплаты и использования на территории РФ.</w:t>
      </w:r>
    </w:p>
    <w:p>
      <w:pPr>
        <w:jc w:val="both"/>
      </w:pPr>
      <w:r>
        <w:rPr>
          <w:rFonts w:ascii="Times New Roman" w:hAnsi="Times New Roman"/>
          <w:i w:val="0"/>
          <w:sz w:val="24"/>
        </w:rPr>
        <w:t>МедСим решает все проблемы: это доступный с любых устройств (ПК, мобильный телефон и планшет) и при слабой силе сигнала веб-тренажер, в котором студент проходит реалистичные клинические сценарии — от сбора анамнеза и назначения обследований до лечения и постановки диагноза — с обратной связью и разбором ошибок сразу после каждого случая. Также данный сервис показывает специфику работы в разных ЛПУ нашей страны 🇷🇺.</w:t>
      </w:r>
    </w:p>
    <w:p>
      <w:pPr>
        <w:jc w:val="both"/>
      </w:pPr>
      <w:r>
        <w:rPr>
          <w:rFonts w:ascii="Times New Roman" w:hAnsi="Times New Roman"/>
          <w:i w:val="0"/>
          <w:sz w:val="24"/>
        </w:rPr>
        <w:t>Данную платформу можно использовать не только в образовательных целях, но и для проведения олимпиад в высших учебных заведениях.</w:t>
      </w:r>
    </w:p>
    <w:p>
      <w:pPr>
        <w:keepNext/>
        <w:spacing w:before="200" w:after="80"/>
      </w:pPr>
      <w:r>
        <w:rPr>
          <w:rFonts w:ascii="Times New Roman" w:hAnsi="Times New Roman"/>
          <w:b/>
          <w:color w:val="2C3E50"/>
          <w:sz w:val="26"/>
        </w:rPr>
        <w:t>Целевая аудитория</w:t>
      </w:r>
    </w:p>
    <w:p>
      <w:pPr>
        <w:jc w:val="both"/>
      </w:pPr>
      <w:r>
        <w:rPr>
          <w:rFonts w:ascii="Times New Roman" w:hAnsi="Times New Roman"/>
          <w:i w:val="0"/>
          <w:sz w:val="24"/>
        </w:rPr>
        <w:t>Студенты медицинских вузов России 3–6 курсов, ординаторы; в первую очередь — студенты СЗГМУ им. И.И. Мечникова как пилотная площадка с перспективой масштабирования на другие медвузы.</w:t>
      </w:r>
    </w:p>
    <w:p>
      <w:pPr>
        <w:keepNext/>
        <w:spacing w:before="200" w:after="80"/>
      </w:pPr>
      <w:r>
        <w:rPr>
          <w:rFonts w:ascii="Times New Roman" w:hAnsi="Times New Roman"/>
          <w:b/>
          <w:color w:val="2C3E50"/>
          <w:sz w:val="26"/>
        </w:rPr>
        <w:t>Цель проекта</w:t>
      </w:r>
    </w:p>
    <w:p>
      <w:pPr>
        <w:jc w:val="both"/>
      </w:pPr>
      <w:r>
        <w:rPr>
          <w:rFonts w:ascii="Times New Roman" w:hAnsi="Times New Roman"/>
          <w:i w:val="0"/>
          <w:sz w:val="24"/>
        </w:rPr>
        <w:t>Разработка доступного инструмента для развития и отработки клинического мышления в безопасной симулированной среде до того, как они столкнутся с реальными пациентами, импортозамещение зарубежных аналогов и их последующая модификация с учётом требований российской системы медицинского образования и клинических рекомендаций Минздрава РФ.</w:t>
      </w:r>
    </w:p>
    <w:p>
      <w:pPr>
        <w:keepNext/>
        <w:spacing w:before="200" w:after="80"/>
      </w:pPr>
      <w:r>
        <w:rPr>
          <w:rFonts w:ascii="Times New Roman" w:hAnsi="Times New Roman"/>
          <w:b/>
          <w:color w:val="2C3E50"/>
          <w:sz w:val="26"/>
        </w:rPr>
        <w:t>Задачи</w:t>
      </w:r>
    </w:p>
    <w:p>
      <w:pPr>
        <w:spacing w:after="60"/>
        <w:ind w:left="360"/>
        <w:jc w:val="both"/>
      </w:pPr>
      <w:r>
        <w:rPr>
          <w:rFonts w:ascii="Times New Roman" w:hAnsi="Times New Roman"/>
          <w:b/>
          <w:sz w:val="24"/>
        </w:rPr>
        <w:t xml:space="preserve">1. </w:t>
      </w:r>
      <w:r>
        <w:rPr>
          <w:rFonts w:ascii="Times New Roman" w:hAnsi="Times New Roman"/>
          <w:sz w:val="24"/>
        </w:rPr>
        <w:t>Доработать и расширить банк клинических кейсов МедСим (с 30 до 67 сценариев).</w:t>
      </w:r>
    </w:p>
    <w:p>
      <w:pPr>
        <w:spacing w:after="60"/>
        <w:ind w:left="360"/>
        <w:jc w:val="both"/>
      </w:pPr>
      <w:r>
        <w:rPr>
          <w:rFonts w:ascii="Times New Roman" w:hAnsi="Times New Roman"/>
          <w:b/>
          <w:sz w:val="24"/>
        </w:rPr>
        <w:t xml:space="preserve">2. </w:t>
      </w:r>
      <w:r>
        <w:rPr>
          <w:rFonts w:ascii="Times New Roman" w:hAnsi="Times New Roman"/>
          <w:sz w:val="24"/>
        </w:rPr>
        <w:t>Добавить критически важные для вовлечённости и удержания функции: адаптация под мобильные устройства, режим случайного кейса, система подсказок.</w:t>
      </w:r>
    </w:p>
    <w:p>
      <w:pPr>
        <w:spacing w:after="60"/>
        <w:ind w:left="360"/>
        <w:jc w:val="both"/>
      </w:pPr>
      <w:r>
        <w:rPr>
          <w:rFonts w:ascii="Times New Roman" w:hAnsi="Times New Roman"/>
          <w:b/>
          <w:sz w:val="24"/>
        </w:rPr>
        <w:t xml:space="preserve">3. </w:t>
      </w:r>
      <w:r>
        <w:rPr>
          <w:rFonts w:ascii="Times New Roman" w:hAnsi="Times New Roman"/>
          <w:sz w:val="24"/>
        </w:rPr>
        <w:t>Провести тестирование с фокус-группой студентов и собрать обратную связь, провести исследования результативности прохождения определенного количества кейсов.</w:t>
      </w:r>
    </w:p>
    <w:p>
      <w:pPr>
        <w:spacing w:after="60"/>
        <w:ind w:left="360"/>
        <w:jc w:val="both"/>
      </w:pPr>
      <w:r>
        <w:rPr>
          <w:rFonts w:ascii="Times New Roman" w:hAnsi="Times New Roman"/>
          <w:b/>
          <w:sz w:val="24"/>
        </w:rPr>
        <w:t xml:space="preserve">4. </w:t>
      </w:r>
      <w:r>
        <w:rPr>
          <w:rFonts w:ascii="Times New Roman" w:hAnsi="Times New Roman"/>
          <w:sz w:val="24"/>
        </w:rPr>
        <w:t>Обеспечить информационное сопровождение проекта в студенческой среде и медиа.</w:t>
      </w:r>
    </w:p>
    <w:p>
      <w:pPr>
        <w:spacing w:after="60"/>
        <w:ind w:left="360"/>
        <w:jc w:val="both"/>
      </w:pPr>
      <w:r>
        <w:rPr>
          <w:rFonts w:ascii="Times New Roman" w:hAnsi="Times New Roman"/>
          <w:b/>
          <w:sz w:val="24"/>
        </w:rPr>
        <w:t xml:space="preserve">5. </w:t>
      </w:r>
      <w:r>
        <w:rPr>
          <w:rFonts w:ascii="Times New Roman" w:hAnsi="Times New Roman"/>
          <w:sz w:val="24"/>
        </w:rPr>
        <w:t>Внедрить проект в учебный процесс как дополнительный инструмент самоподготовки и инструмент для проведения олимпиад.</w:t>
      </w:r>
    </w:p>
    <w:p>
      <w:pPr>
        <w:keepNext/>
        <w:spacing w:before="200" w:after="80"/>
      </w:pPr>
      <w:r>
        <w:rPr>
          <w:rFonts w:ascii="Times New Roman" w:hAnsi="Times New Roman"/>
          <w:b/>
          <w:color w:val="2C3E50"/>
          <w:sz w:val="26"/>
        </w:rPr>
        <w:t>Описание проекта / что уже сделано</w:t>
      </w:r>
    </w:p>
    <w:p>
      <w:pPr>
        <w:jc w:val="both"/>
      </w:pPr>
      <w:r>
        <w:rPr>
          <w:rFonts w:ascii="Times New Roman" w:hAnsi="Times New Roman"/>
          <w:i w:val="0"/>
          <w:sz w:val="24"/>
        </w:rPr>
        <w:t>К моменту подачи заявки создан работающий прототип: React-приложение с игровым циклом «меню → назначение обследований → получение результатов → диагностика/лечение → экран с оценкой (0–100 баллов) и разбором». Реализовано 30 реальных клинических случаев в 5 специальностях: кардиология, неврология, пульмонология, инфекционные болезни, эндокринология. Каждый сценарий рассчитан на 7–15 минут и моделирует ухудшение состояния пациента, требующее от студента критических решений в реальном времени.</w:t>
      </w:r>
    </w:p>
    <w:p>
      <w:pPr>
        <w:keepNext/>
        <w:spacing w:before="200" w:after="80"/>
      </w:pPr>
      <w:r>
        <w:rPr>
          <w:rFonts w:ascii="Times New Roman" w:hAnsi="Times New Roman"/>
          <w:b/>
          <w:color w:val="2C3E50"/>
          <w:sz w:val="26"/>
        </w:rPr>
        <w:t>Календарный план</w:t>
      </w:r>
    </w:p>
    <w:p>
      <w:pPr>
        <w:jc w:val="both"/>
      </w:pPr>
      <w:r>
        <w:rPr>
          <w:rFonts w:ascii="Times New Roman" w:hAnsi="Times New Roman"/>
          <w:i/>
          <w:sz w:val="24"/>
        </w:rPr>
        <w:t>Этап 1. Разработка и наполнение</w:t>
      </w:r>
    </w:p>
    <w:p>
      <w:pPr>
        <w:pStyle w:val="ListBullet"/>
        <w:spacing w:after="40"/>
        <w:jc w:val="both"/>
      </w:pPr>
      <w:r>
        <w:rPr>
          <w:rFonts w:ascii="Times New Roman" w:hAnsi="Times New Roman"/>
          <w:b/>
          <w:sz w:val="24"/>
        </w:rPr>
        <w:t xml:space="preserve">• Расширение банка кейсов: </w:t>
      </w:r>
      <w:r>
        <w:rPr>
          <w:rFonts w:ascii="Times New Roman" w:hAnsi="Times New Roman"/>
          <w:sz w:val="24"/>
        </w:rPr>
        <w:t>Добавление новых клинических специальностей по токсикологии и абдоминальной хирургии и доведение общего числа кейсов до 67.</w:t>
      </w:r>
    </w:p>
    <w:p>
      <w:pPr>
        <w:pStyle w:val="ListBullet"/>
        <w:spacing w:after="40"/>
        <w:jc w:val="both"/>
      </w:pPr>
      <w:r>
        <w:rPr>
          <w:rFonts w:ascii="Times New Roman" w:hAnsi="Times New Roman"/>
          <w:b/>
          <w:sz w:val="24"/>
        </w:rPr>
        <w:t xml:space="preserve">• Мобильная адаптация: </w:t>
      </w:r>
      <w:r>
        <w:rPr>
          <w:rFonts w:ascii="Times New Roman" w:hAnsi="Times New Roman"/>
          <w:sz w:val="24"/>
        </w:rPr>
        <w:t>Доработка интерфейса под смартфоны и планшеты.</w:t>
      </w:r>
    </w:p>
    <w:p>
      <w:pPr>
        <w:pStyle w:val="ListBullet"/>
        <w:spacing w:after="40"/>
        <w:jc w:val="both"/>
      </w:pPr>
      <w:r>
        <w:rPr>
          <w:rFonts w:ascii="Times New Roman" w:hAnsi="Times New Roman"/>
          <w:b/>
          <w:sz w:val="24"/>
        </w:rPr>
        <w:t xml:space="preserve">• Система подсказок и режим случайного кейса: </w:t>
      </w:r>
      <w:r>
        <w:rPr>
          <w:rFonts w:ascii="Times New Roman" w:hAnsi="Times New Roman"/>
          <w:sz w:val="24"/>
        </w:rPr>
        <w:t>Подсказки для студентов, случайный подбор сценария для повторной тренировки без предсказуемости — оба пункта повышают удержание пользователей.</w:t>
      </w:r>
    </w:p>
    <w:p>
      <w:pPr>
        <w:jc w:val="both"/>
      </w:pPr>
      <w:r>
        <w:rPr>
          <w:rFonts w:ascii="Times New Roman" w:hAnsi="Times New Roman"/>
          <w:i/>
          <w:sz w:val="24"/>
        </w:rPr>
        <w:t>Этап 2. Тестирование и запуск</w:t>
      </w:r>
    </w:p>
    <w:p>
      <w:pPr>
        <w:pStyle w:val="ListBullet"/>
        <w:spacing w:after="40"/>
        <w:jc w:val="both"/>
      </w:pPr>
      <w:r>
        <w:rPr>
          <w:rFonts w:ascii="Times New Roman" w:hAnsi="Times New Roman"/>
          <w:b/>
          <w:sz w:val="24"/>
        </w:rPr>
        <w:t xml:space="preserve">• Тестирование с фокус-группой: </w:t>
      </w:r>
      <w:r>
        <w:rPr>
          <w:rFonts w:ascii="Times New Roman" w:hAnsi="Times New Roman"/>
          <w:sz w:val="24"/>
        </w:rPr>
        <w:t>Привлечение 30+ студентов СЗГМУ к тестированию новых функций, сбор обратной связи и доработка UX по её итогам.</w:t>
      </w:r>
    </w:p>
    <w:p>
      <w:pPr>
        <w:pStyle w:val="ListBullet"/>
        <w:spacing w:after="40"/>
        <w:jc w:val="both"/>
      </w:pPr>
      <w:r>
        <w:rPr>
          <w:rFonts w:ascii="Times New Roman" w:hAnsi="Times New Roman"/>
          <w:b/>
          <w:sz w:val="24"/>
        </w:rPr>
        <w:t xml:space="preserve">• Информационная кампания и запуск: </w:t>
      </w:r>
      <w:r>
        <w:rPr>
          <w:rFonts w:ascii="Times New Roman" w:hAnsi="Times New Roman"/>
          <w:sz w:val="24"/>
        </w:rPr>
        <w:t>Публикации в студенческих пабликах медвузов, распространение среди целевой аудитории, сбор первых метрик вовлечённости.</w:t>
      </w:r>
    </w:p>
    <w:p>
      <w:pPr>
        <w:pStyle w:val="ListBullet"/>
        <w:spacing w:after="40"/>
        <w:jc w:val="both"/>
      </w:pPr>
      <w:r>
        <w:rPr>
          <w:rFonts w:ascii="Times New Roman" w:hAnsi="Times New Roman"/>
          <w:b/>
          <w:sz w:val="24"/>
        </w:rPr>
        <w:t xml:space="preserve">• Итоговая оценка результатов: </w:t>
      </w:r>
      <w:r>
        <w:rPr>
          <w:rFonts w:ascii="Times New Roman" w:hAnsi="Times New Roman"/>
          <w:sz w:val="24"/>
        </w:rPr>
        <w:t>Подведение итогов по всем заявленным показателям (кейсы, участники, публикации, охват), подготовка отчётности по гранту.</w:t>
      </w:r>
    </w:p>
    <w:p>
      <w:pPr>
        <w:keepNext/>
        <w:spacing w:before="200" w:after="80"/>
      </w:pPr>
      <w:r>
        <w:rPr>
          <w:rFonts w:ascii="Times New Roman" w:hAnsi="Times New Roman"/>
          <w:b/>
          <w:color w:val="2C3E50"/>
          <w:sz w:val="26"/>
        </w:rPr>
        <w:t>Показатели результата</w:t>
      </w:r>
    </w:p>
    <w:p>
      <w:pPr>
        <w:pStyle w:val="ListBullet"/>
        <w:spacing w:after="40"/>
        <w:jc w:val="both"/>
      </w:pPr>
      <w:r>
        <w:rPr>
          <w:rFonts w:ascii="Times New Roman" w:hAnsi="Times New Roman"/>
          <w:sz w:val="24"/>
        </w:rPr>
        <w:t>Количество новых клинических кейсов: +37 (итого 67, увеличение более чем в два раза);</w:t>
      </w:r>
    </w:p>
    <w:p>
      <w:pPr>
        <w:pStyle w:val="ListBullet"/>
        <w:spacing w:after="40"/>
        <w:jc w:val="both"/>
      </w:pPr>
      <w:r>
        <w:rPr>
          <w:rFonts w:ascii="Times New Roman" w:hAnsi="Times New Roman"/>
          <w:sz w:val="24"/>
        </w:rPr>
        <w:t>Количество вовлечённых участников (студентов, прошедших ≥1 кейс): не менее 120;</w:t>
      </w:r>
    </w:p>
    <w:p>
      <w:pPr>
        <w:pStyle w:val="ListBullet"/>
        <w:spacing w:after="40"/>
        <w:jc w:val="both"/>
      </w:pPr>
      <w:r>
        <w:rPr>
          <w:rFonts w:ascii="Times New Roman" w:hAnsi="Times New Roman"/>
          <w:sz w:val="24"/>
        </w:rPr>
        <w:t>Количество мероприятий (тестирований, презентаций): не менее 3;</w:t>
      </w:r>
    </w:p>
    <w:p>
      <w:pPr>
        <w:pStyle w:val="ListBullet"/>
        <w:spacing w:after="40"/>
        <w:jc w:val="both"/>
      </w:pPr>
      <w:r>
        <w:rPr>
          <w:rFonts w:ascii="Times New Roman" w:hAnsi="Times New Roman"/>
          <w:sz w:val="24"/>
        </w:rPr>
        <w:t>Количество публикаций о проекте в СМИ/интернете: не менее 6;</w:t>
      </w:r>
    </w:p>
    <w:p>
      <w:pPr>
        <w:pStyle w:val="ListBullet"/>
        <w:spacing w:after="40"/>
        <w:jc w:val="both"/>
      </w:pPr>
      <w:r>
        <w:rPr>
          <w:rFonts w:ascii="Times New Roman" w:hAnsi="Times New Roman"/>
          <w:sz w:val="24"/>
        </w:rPr>
        <w:t>Количество просмотров публикаций: не менее 5 000.</w:t>
      </w:r>
    </w:p>
    <w:p>
      <w:pPr>
        <w:keepNext/>
        <w:spacing w:before="200" w:after="80"/>
      </w:pPr>
      <w:r>
        <w:rPr>
          <w:rFonts w:ascii="Times New Roman" w:hAnsi="Times New Roman"/>
          <w:b/>
          <w:color w:val="2C3E50"/>
          <w:sz w:val="26"/>
        </w:rPr>
        <w:t>Уникальность и адресность решения</w:t>
      </w:r>
    </w:p>
    <w:p>
      <w:pPr>
        <w:jc w:val="both"/>
      </w:pPr>
      <w:r>
        <w:rPr>
          <w:rFonts w:ascii="Times New Roman" w:hAnsi="Times New Roman"/>
          <w:i w:val="0"/>
          <w:sz w:val="24"/>
        </w:rPr>
        <w:t>В отличие от зарубежных корпоративных симуляторов, МедСим:</w:t>
      </w:r>
    </w:p>
    <w:p>
      <w:pPr>
        <w:pStyle w:val="ListBullet"/>
        <w:spacing w:after="40"/>
        <w:jc w:val="both"/>
      </w:pPr>
      <w:r>
        <w:rPr>
          <w:rFonts w:ascii="Times New Roman" w:hAnsi="Times New Roman"/>
          <w:sz w:val="24"/>
        </w:rPr>
        <w:t>доступен через браузер без установки дополнительного ПО;</w:t>
      </w:r>
    </w:p>
    <w:p>
      <w:pPr>
        <w:pStyle w:val="ListBullet"/>
        <w:spacing w:after="40"/>
        <w:jc w:val="both"/>
      </w:pPr>
      <w:r>
        <w:rPr>
          <w:rFonts w:ascii="Times New Roman" w:hAnsi="Times New Roman"/>
          <w:sz w:val="24"/>
        </w:rPr>
        <w:t>сделан студентом для студентов — сценарии написаны с учётом реальных пробелов, которые видны изнутри учебного процесса;</w:t>
      </w:r>
    </w:p>
    <w:p>
      <w:pPr>
        <w:pStyle w:val="ListBullet"/>
        <w:spacing w:after="40"/>
        <w:jc w:val="both"/>
      </w:pPr>
      <w:r>
        <w:rPr>
          <w:rFonts w:ascii="Times New Roman" w:hAnsi="Times New Roman"/>
          <w:sz w:val="24"/>
        </w:rPr>
        <w:t>легко масштабируется на любой медвуз;</w:t>
      </w:r>
    </w:p>
    <w:p>
      <w:pPr>
        <w:pStyle w:val="ListBullet"/>
        <w:spacing w:after="40"/>
        <w:jc w:val="both"/>
      </w:pPr>
      <w:r>
        <w:rPr>
          <w:rFonts w:ascii="Times New Roman" w:hAnsi="Times New Roman"/>
          <w:sz w:val="24"/>
        </w:rPr>
        <w:t>полностью на русском языке;</w:t>
      </w:r>
    </w:p>
    <w:p>
      <w:pPr>
        <w:pStyle w:val="ListBullet"/>
        <w:spacing w:after="40"/>
        <w:jc w:val="both"/>
      </w:pPr>
      <w:r>
        <w:rPr>
          <w:rFonts w:ascii="Times New Roman" w:hAnsi="Times New Roman"/>
          <w:sz w:val="24"/>
        </w:rPr>
        <w:t>основа — российские стандарты и планы обучения, а также клинические рекомендации Минздрава РФ;</w:t>
      </w:r>
    </w:p>
    <w:p>
      <w:pPr>
        <w:pStyle w:val="ListBullet"/>
        <w:spacing w:after="40"/>
        <w:jc w:val="both"/>
      </w:pPr>
      <w:r>
        <w:rPr>
          <w:rFonts w:ascii="Times New Roman" w:hAnsi="Times New Roman"/>
          <w:sz w:val="24"/>
        </w:rPr>
        <w:t>базирование платформы на российских серверах, что обеспечивает технологический суверенитет и полную независимость от санкций.</w:t>
      </w:r>
    </w:p>
    <w:p>
      <w:pPr>
        <w:keepNext/>
        <w:spacing w:before="200" w:after="80"/>
      </w:pPr>
      <w:r>
        <w:rPr>
          <w:rFonts w:ascii="Times New Roman" w:hAnsi="Times New Roman"/>
          <w:b/>
          <w:color w:val="2C3E50"/>
          <w:sz w:val="26"/>
        </w:rPr>
        <w:t>Опыт и компетенции команды</w:t>
      </w:r>
    </w:p>
    <w:p>
      <w:pPr>
        <w:jc w:val="both"/>
      </w:pPr>
      <w:r>
        <w:rPr>
          <w:rFonts w:ascii="Times New Roman" w:hAnsi="Times New Roman"/>
          <w:i w:val="0"/>
          <w:sz w:val="24"/>
        </w:rPr>
        <w:t>Руководитель проекта — студент СЗГМУ им. И.И. Мечникова, разработчик платформы МедСим. Имеет практический опыт создания веб-приложений и глубокое понимание специфики медицинского образования.</w:t>
      </w:r>
    </w:p>
    <w:p>
      <w:pPr>
        <w:keepNext/>
        <w:spacing w:before="200" w:after="80"/>
      </w:pPr>
      <w:r>
        <w:rPr>
          <w:rFonts w:ascii="Times New Roman" w:hAnsi="Times New Roman"/>
          <w:b/>
          <w:color w:val="2C3E50"/>
          <w:sz w:val="26"/>
        </w:rPr>
        <w:t>Собственный вклад и дополнительные ресурсы</w:t>
      </w:r>
    </w:p>
    <w:p>
      <w:pPr>
        <w:pStyle w:val="ListBullet"/>
        <w:spacing w:after="40"/>
        <w:jc w:val="both"/>
      </w:pPr>
      <w:r>
        <w:rPr>
          <w:rFonts w:ascii="Times New Roman" w:hAnsi="Times New Roman"/>
          <w:sz w:val="24"/>
        </w:rPr>
        <w:t>Покупка подписки на среду разработки;</w:t>
      </w:r>
    </w:p>
    <w:p>
      <w:pPr>
        <w:pStyle w:val="ListBullet"/>
        <w:spacing w:after="40"/>
        <w:jc w:val="both"/>
      </w:pPr>
      <w:r>
        <w:rPr>
          <w:rFonts w:ascii="Times New Roman" w:hAnsi="Times New Roman"/>
          <w:sz w:val="24"/>
        </w:rPr>
        <w:t>Покупка дополнительных инструментов разработки для оптимизации процесса создания платформы;</w:t>
      </w:r>
    </w:p>
    <w:p>
      <w:pPr>
        <w:pStyle w:val="ListBullet"/>
        <w:spacing w:after="40"/>
        <w:jc w:val="both"/>
      </w:pPr>
      <w:r>
        <w:rPr>
          <w:rFonts w:ascii="Times New Roman" w:hAnsi="Times New Roman"/>
          <w:sz w:val="24"/>
        </w:rPr>
        <w:t>Информационная поддержка от студенческого паблика СЗГМУ им. И.И. Мечникова.</w:t>
      </w:r>
    </w:p>
    <w:p>
      <w:pPr>
        <w:keepNext/>
        <w:spacing w:before="200" w:after="80"/>
      </w:pPr>
      <w:r>
        <w:rPr>
          <w:rFonts w:ascii="Times New Roman" w:hAnsi="Times New Roman"/>
          <w:b/>
          <w:color w:val="2C3E50"/>
          <w:sz w:val="26"/>
        </w:rPr>
        <w:t>Перспектива развития проекта</w:t>
      </w:r>
    </w:p>
    <w:p>
      <w:pPr>
        <w:jc w:val="both"/>
      </w:pPr>
      <w:r>
        <w:rPr>
          <w:rFonts w:ascii="Times New Roman" w:hAnsi="Times New Roman"/>
          <w:i w:val="0"/>
          <w:sz w:val="24"/>
        </w:rPr>
        <w:t>После завершения гранта планируется: интеграция с учебными планами других медицинских вузов, дальнейшее увеличение количества клинических кейсов, разработка специализированного режима для ординаторов с усложнёнными сценариями, а также коллаборации с другими образовательными медицинскими платформами.</w:t>
      </w:r>
    </w:p>
    <w:p>
      <w:r>
        <w:br w:type="page"/>
      </w:r>
    </w:p>
    <w:p>
      <w:pPr>
        <w:keepNext/>
        <w:spacing w:before="280" w:after="120"/>
      </w:pPr>
      <w:r>
        <w:rPr>
          <w:rFonts w:ascii="Times New Roman" w:hAnsi="Times New Roman"/>
          <w:b/>
          <w:color w:val="1B365D"/>
          <w:sz w:val="30"/>
        </w:rPr>
        <w:t>2. СМЕТА ПРОЕКТА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864"/>
            <w:tcMar>
              <w:top w:w="120" w:type="dxa"/>
              <w:bottom w:w="120" w:type="dxa"/>
              <w:left w:w="140" w:type="dxa"/>
              <w:right w:w="140" w:type="dxa"/>
            </w:tcMar>
            <w:shd w:fill="1B365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№</w:t>
            </w:r>
          </w:p>
        </w:tc>
        <w:tc>
          <w:tcPr>
            <w:tcW w:type="dxa" w:w="6480"/>
            <w:tcMar>
              <w:top w:w="120" w:type="dxa"/>
              <w:bottom w:w="120" w:type="dxa"/>
              <w:left w:w="140" w:type="dxa"/>
              <w:right w:w="140" w:type="dxa"/>
            </w:tcMar>
            <w:shd w:fill="1B365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Статья расходов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40" w:type="dxa"/>
              <w:right w:w="140" w:type="dxa"/>
            </w:tcMar>
            <w:shd w:fill="1B365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Сумма, ₽</w:t>
            </w:r>
          </w:p>
        </w:tc>
      </w:tr>
      <w:tr>
        <w:trPr>
          <w:cantSplit/>
        </w:trPr>
        <w:tc>
          <w:tcPr>
            <w:tcW w:type="dxa" w:w="864"/>
            <w:tcMar>
              <w:top w:w="120" w:type="dxa"/>
              <w:bottom w:w="120" w:type="dxa"/>
              <w:left w:w="140" w:type="dxa"/>
              <w:right w:w="140" w:type="dxa"/>
            </w:tcMar>
            <w:shd w:fill="F9FA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1</w:t>
            </w:r>
          </w:p>
        </w:tc>
        <w:tc>
          <w:tcPr>
            <w:tcW w:type="dxa" w:w="6480"/>
            <w:tcMar>
              <w:top w:w="120" w:type="dxa"/>
              <w:bottom w:w="120" w:type="dxa"/>
              <w:left w:w="140" w:type="dxa"/>
              <w:right w:w="140" w:type="dxa"/>
            </w:tcMar>
            <w:shd w:fill="F9FA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color w:val="000000"/>
                <w:sz w:val="23"/>
              </w:rPr>
              <w:t>Оборудование для тестирования (смартфоны, планшеты)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40" w:type="dxa"/>
              <w:right w:w="140" w:type="dxa"/>
            </w:tcMar>
            <w:shd w:fill="F9FA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hAnsi="Times New Roman"/>
                <w:color w:val="000000"/>
                <w:sz w:val="23"/>
              </w:rPr>
              <w:t>80 000</w:t>
            </w:r>
          </w:p>
        </w:tc>
      </w:tr>
      <w:tr>
        <w:trPr>
          <w:cantSplit/>
        </w:trPr>
        <w:tc>
          <w:tcPr>
            <w:tcW w:type="dxa" w:w="864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2</w:t>
            </w:r>
          </w:p>
        </w:tc>
        <w:tc>
          <w:tcPr>
            <w:tcW w:type="dxa" w:w="648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color w:val="000000"/>
                <w:sz w:val="23"/>
              </w:rPr>
              <w:t>Хостинг, серверы, домен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hAnsi="Times New Roman"/>
                <w:color w:val="000000"/>
                <w:sz w:val="23"/>
              </w:rPr>
              <w:t>40 000</w:t>
            </w:r>
          </w:p>
        </w:tc>
      </w:tr>
      <w:tr>
        <w:trPr>
          <w:cantSplit/>
        </w:trPr>
        <w:tc>
          <w:tcPr>
            <w:tcW w:type="dxa" w:w="864"/>
            <w:tcMar>
              <w:top w:w="120" w:type="dxa"/>
              <w:bottom w:w="120" w:type="dxa"/>
              <w:left w:w="140" w:type="dxa"/>
              <w:right w:w="140" w:type="dxa"/>
            </w:tcMar>
            <w:shd w:fill="F9FA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3</w:t>
            </w:r>
          </w:p>
        </w:tc>
        <w:tc>
          <w:tcPr>
            <w:tcW w:type="dxa" w:w="6480"/>
            <w:tcMar>
              <w:top w:w="120" w:type="dxa"/>
              <w:bottom w:w="120" w:type="dxa"/>
              <w:left w:w="140" w:type="dxa"/>
              <w:right w:w="140" w:type="dxa"/>
            </w:tcMar>
            <w:shd w:fill="F9FA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color w:val="000000"/>
                <w:sz w:val="23"/>
              </w:rPr>
              <w:t>Медицинская экспертиза кейсов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40" w:type="dxa"/>
              <w:right w:w="140" w:type="dxa"/>
            </w:tcMar>
            <w:shd w:fill="F9FA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hAnsi="Times New Roman"/>
                <w:color w:val="000000"/>
                <w:sz w:val="23"/>
              </w:rPr>
              <w:t>60 000</w:t>
            </w:r>
          </w:p>
        </w:tc>
      </w:tr>
      <w:tr>
        <w:trPr>
          <w:cantSplit/>
        </w:trPr>
        <w:tc>
          <w:tcPr>
            <w:tcW w:type="dxa" w:w="864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4</w:t>
            </w:r>
          </w:p>
        </w:tc>
        <w:tc>
          <w:tcPr>
            <w:tcW w:type="dxa" w:w="648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color w:val="000000"/>
                <w:sz w:val="23"/>
              </w:rPr>
              <w:t>UI/UX дизайнер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hAnsi="Times New Roman"/>
                <w:color w:val="000000"/>
                <w:sz w:val="23"/>
              </w:rPr>
              <w:t>70 000</w:t>
            </w:r>
          </w:p>
        </w:tc>
      </w:tr>
      <w:tr>
        <w:trPr>
          <w:cantSplit/>
        </w:trPr>
        <w:tc>
          <w:tcPr>
            <w:tcW w:type="dxa" w:w="864"/>
            <w:tcMar>
              <w:top w:w="120" w:type="dxa"/>
              <w:bottom w:w="120" w:type="dxa"/>
              <w:left w:w="140" w:type="dxa"/>
              <w:right w:w="140" w:type="dxa"/>
            </w:tcMar>
            <w:shd w:fill="F9FA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5</w:t>
            </w:r>
          </w:p>
        </w:tc>
        <w:tc>
          <w:tcPr>
            <w:tcW w:type="dxa" w:w="6480"/>
            <w:tcMar>
              <w:top w:w="120" w:type="dxa"/>
              <w:bottom w:w="120" w:type="dxa"/>
              <w:left w:w="140" w:type="dxa"/>
              <w:right w:w="140" w:type="dxa"/>
            </w:tcMar>
            <w:shd w:fill="F9FA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color w:val="000000"/>
                <w:sz w:val="23"/>
              </w:rPr>
              <w:t>Тестирование с фокус-группой + ноутбук для разработки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40" w:type="dxa"/>
              <w:right w:w="140" w:type="dxa"/>
            </w:tcMar>
            <w:shd w:fill="F9FA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hAnsi="Times New Roman"/>
                <w:color w:val="000000"/>
                <w:sz w:val="23"/>
              </w:rPr>
              <w:t>160 000</w:t>
            </w:r>
          </w:p>
        </w:tc>
      </w:tr>
      <w:tr>
        <w:trPr>
          <w:cantSplit/>
        </w:trPr>
        <w:tc>
          <w:tcPr>
            <w:tcW w:type="dxa" w:w="864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6</w:t>
            </w:r>
          </w:p>
        </w:tc>
        <w:tc>
          <w:tcPr>
            <w:tcW w:type="dxa" w:w="648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color w:val="000000"/>
                <w:sz w:val="23"/>
              </w:rPr>
              <w:t>Продвижение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hAnsi="Times New Roman"/>
                <w:color w:val="000000"/>
                <w:sz w:val="23"/>
              </w:rPr>
              <w:t>120 000</w:t>
            </w:r>
          </w:p>
        </w:tc>
      </w:tr>
      <w:tr>
        <w:trPr>
          <w:cantSplit/>
        </w:trPr>
        <w:tc>
          <w:tcPr>
            <w:tcW w:type="dxa" w:w="864"/>
            <w:tcMar>
              <w:top w:w="120" w:type="dxa"/>
              <w:bottom w:w="120" w:type="dxa"/>
              <w:left w:w="140" w:type="dxa"/>
              <w:right w:w="140" w:type="dxa"/>
            </w:tcMar>
            <w:shd w:fill="F9FA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7</w:t>
            </w:r>
          </w:p>
        </w:tc>
        <w:tc>
          <w:tcPr>
            <w:tcW w:type="dxa" w:w="6480"/>
            <w:tcMar>
              <w:top w:w="120" w:type="dxa"/>
              <w:bottom w:w="120" w:type="dxa"/>
              <w:left w:w="140" w:type="dxa"/>
              <w:right w:w="140" w:type="dxa"/>
            </w:tcMar>
            <w:shd w:fill="F9FA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color w:val="000000"/>
                <w:sz w:val="23"/>
              </w:rPr>
              <w:t>Рабочая станция для разработки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40" w:type="dxa"/>
              <w:right w:w="140" w:type="dxa"/>
            </w:tcMar>
            <w:shd w:fill="F9FA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hAnsi="Times New Roman"/>
                <w:color w:val="000000"/>
                <w:sz w:val="23"/>
              </w:rPr>
              <w:t>300 000</w:t>
            </w:r>
          </w:p>
        </w:tc>
      </w:tr>
      <w:tr>
        <w:trPr>
          <w:cantSplit/>
        </w:trPr>
        <w:tc>
          <w:tcPr>
            <w:tcW w:type="dxa" w:w="864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8</w:t>
            </w:r>
          </w:p>
        </w:tc>
        <w:tc>
          <w:tcPr>
            <w:tcW w:type="dxa" w:w="648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color w:val="000000"/>
                <w:sz w:val="23"/>
              </w:rPr>
              <w:t>Юридическое сопровождение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hAnsi="Times New Roman"/>
                <w:color w:val="000000"/>
                <w:sz w:val="23"/>
              </w:rPr>
              <w:t>15 000</w:t>
            </w:r>
          </w:p>
        </w:tc>
      </w:tr>
      <w:tr>
        <w:trPr>
          <w:cantSplit/>
        </w:trPr>
        <w:tc>
          <w:tcPr>
            <w:tcW w:type="dxa" w:w="864"/>
            <w:tcMar>
              <w:top w:w="120" w:type="dxa"/>
              <w:bottom w:w="120" w:type="dxa"/>
              <w:left w:w="140" w:type="dxa"/>
              <w:right w:w="140" w:type="dxa"/>
            </w:tcMar>
            <w:shd w:fill="F9FA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9</w:t>
            </w:r>
          </w:p>
        </w:tc>
        <w:tc>
          <w:tcPr>
            <w:tcW w:type="dxa" w:w="6480"/>
            <w:tcMar>
              <w:top w:w="120" w:type="dxa"/>
              <w:bottom w:w="120" w:type="dxa"/>
              <w:left w:w="140" w:type="dxa"/>
              <w:right w:w="140" w:type="dxa"/>
            </w:tcMar>
            <w:shd w:fill="F9FA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color w:val="000000"/>
                <w:sz w:val="23"/>
              </w:rPr>
              <w:t>Непредвиденные расходы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40" w:type="dxa"/>
              <w:right w:w="140" w:type="dxa"/>
            </w:tcMar>
            <w:shd w:fill="F9FA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hAnsi="Times New Roman"/>
                <w:color w:val="000000"/>
                <w:sz w:val="23"/>
              </w:rPr>
              <w:t>15 000</w:t>
            </w:r>
          </w:p>
        </w:tc>
      </w:tr>
      <w:tr>
        <w:trPr>
          <w:cantSplit/>
        </w:trPr>
        <w:tc>
          <w:tcPr>
            <w:tcW w:type="dxa" w:w="864"/>
            <w:tcMar>
              <w:top w:w="120" w:type="dxa"/>
              <w:bottom w:w="120" w:type="dxa"/>
              <w:left w:w="140" w:type="dxa"/>
              <w:right w:w="140" w:type="dxa"/>
            </w:tcMar>
            <w:shd w:fill="EAECEE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1B365D"/>
                <w:sz w:val="23"/>
              </w:rPr>
            </w:r>
          </w:p>
        </w:tc>
        <w:tc>
          <w:tcPr>
            <w:tcW w:type="dxa" w:w="6480"/>
            <w:tcMar>
              <w:top w:w="120" w:type="dxa"/>
              <w:bottom w:w="120" w:type="dxa"/>
              <w:left w:w="140" w:type="dxa"/>
              <w:right w:w="140" w:type="dxa"/>
            </w:tcMar>
            <w:shd w:fill="EAECEE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color w:val="1B365D"/>
                <w:sz w:val="23"/>
              </w:rPr>
              <w:t>ИТОГО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40" w:type="dxa"/>
              <w:right w:w="140" w:type="dxa"/>
            </w:tcMar>
            <w:shd w:fill="EAECEE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hAnsi="Times New Roman"/>
                <w:b/>
                <w:color w:val="1B365D"/>
                <w:sz w:val="23"/>
              </w:rPr>
              <w:t>860 000</w:t>
            </w:r>
          </w:p>
        </w:tc>
      </w:tr>
    </w:tbl>
    <w:sectPr w:rsidR="00FC693F" w:rsidRPr="0006063C" w:rsidSect="00034616">
      <w:pgSz w:w="12240" w:h="15840"/>
      <w:pgMar w:top="1138" w:right="864" w:bottom="113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 w:before="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