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Ультразвуковое исследование органов брюшной полости.</w:t>
      </w:r>
      <w:r>
        <w:rPr>
          <w:rFonts w:ascii="Times New Roman" w:hAnsi="Times New Roman"/>
          <w:sz w:val="28"/>
        </w:rPr>
        <w:t xml:space="preserve"> 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>ПЕЧЕНЬ: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sz w:val="22"/>
        </w:rPr>
        <w:t>Расположение: типичное;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Правая доля (120-150 мм) КВР:  140 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                Левая доля (60-100 мм):           65х85 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                1 сегмент (хвостатая доля):            16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паренхимы: относительно однородная, </w:t>
      </w:r>
      <w:r>
        <w:rPr>
          <w:rFonts w:ascii="Times New Roman" w:hAnsi="Times New Roman"/>
          <w:sz w:val="22"/>
        </w:rPr>
        <w:t>эхогенность</w:t>
      </w:r>
      <w:r>
        <w:rPr>
          <w:rFonts w:ascii="Times New Roman" w:hAnsi="Times New Roman"/>
          <w:sz w:val="22"/>
        </w:rPr>
        <w:t xml:space="preserve"> средняя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объемных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sz w:val="22"/>
        </w:rPr>
        <w:t>Сосудистый рисунок паренхимы: сохранен</w:t>
      </w:r>
    </w:p>
    <w:p>
      <w:pPr>
        <w:spacing w:after="0"/>
      </w:pPr>
      <w:r>
        <w:rPr>
          <w:rFonts w:ascii="Times New Roman" w:hAnsi="Times New Roman"/>
          <w:sz w:val="22"/>
        </w:rPr>
        <w:t>Внутрипеченочные протоки: не расширены</w:t>
      </w:r>
    </w:p>
    <w:p>
      <w:pPr>
        <w:spacing w:after="0"/>
      </w:pPr>
      <w:r>
        <w:rPr>
          <w:rFonts w:ascii="Times New Roman" w:hAnsi="Times New Roman"/>
          <w:sz w:val="22"/>
        </w:rPr>
        <w:t>ЦДК: печеночные вены: не расширены, проходимы; воротная вена (10-12 мм): 10 мм, проходима,  кровоток</w:t>
      </w:r>
    </w:p>
    <w:p>
      <w:pPr>
        <w:spacing w:after="0"/>
      </w:pPr>
      <w:r>
        <w:rPr>
          <w:rFonts w:ascii="Times New Roman" w:hAnsi="Times New Roman"/>
          <w:sz w:val="22"/>
        </w:rPr>
        <w:t>гепатопетальный, V 16 см/с ; нижняя полая вена (до 20 мм): 17 мм, проходима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ЖЕЛЧНЫЙ ПУЗЫРЬ: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Акустический доступ: достаточный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Расположение:  типичное;  форма: обычная;  перегибы в верхней и нижней трети                                  </w:t>
      </w:r>
    </w:p>
    <w:p>
      <w:pPr>
        <w:spacing w:after="0"/>
      </w:pPr>
      <w:r>
        <w:rPr>
          <w:rFonts w:ascii="Times New Roman" w:hAnsi="Times New Roman"/>
          <w:sz w:val="22"/>
        </w:rPr>
        <w:t>Стенки:  2 мм, типичной структуры</w:t>
      </w:r>
    </w:p>
    <w:p>
      <w:pPr>
        <w:spacing w:after="0"/>
      </w:pPr>
      <w:r>
        <w:rPr>
          <w:rFonts w:ascii="Times New Roman" w:hAnsi="Times New Roman"/>
          <w:sz w:val="22"/>
        </w:rPr>
        <w:t>Просвет:  свободен</w:t>
      </w:r>
    </w:p>
    <w:p>
      <w:pPr>
        <w:spacing w:after="0"/>
      </w:pPr>
      <w:r>
        <w:rPr>
          <w:rFonts w:ascii="Times New Roman" w:hAnsi="Times New Roman"/>
          <w:sz w:val="22"/>
        </w:rPr>
        <w:t>Холедох</w:t>
      </w:r>
      <w:r>
        <w:rPr>
          <w:rFonts w:ascii="Times New Roman" w:hAnsi="Times New Roman"/>
          <w:sz w:val="22"/>
        </w:rPr>
        <w:t>: не расширен, просвет на участке, доступном визуализации, свободен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ПОДЖЕЛУДОЧНАЯ ЖЕЛЕЗА: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затруднен (признаки метеоризма)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Толщина головки (11-30 мм):   22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                Толщина тела (4-21 мм):          12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                Толщина хвоста (7-28 мм):      23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Контуры: ровные, фрагментарно нечеткие                 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2"/>
        </w:rPr>
        <w:t>Эхогенность</w:t>
      </w:r>
      <w:r>
        <w:rPr>
          <w:rFonts w:ascii="Times New Roman" w:hAnsi="Times New Roman"/>
          <w:sz w:val="22"/>
        </w:rPr>
        <w:t xml:space="preserve"> паренхимы: средняя; структура однородная</w:t>
      </w:r>
    </w:p>
    <w:p>
      <w:pPr>
        <w:spacing w:after="0"/>
      </w:pPr>
      <w:r>
        <w:rPr>
          <w:rFonts w:ascii="Times New Roman" w:hAnsi="Times New Roman"/>
          <w:sz w:val="22"/>
        </w:rPr>
        <w:t>Панкреатический (</w:t>
      </w:r>
      <w:r>
        <w:rPr>
          <w:rFonts w:ascii="Times New Roman" w:hAnsi="Times New Roman"/>
          <w:sz w:val="22"/>
        </w:rPr>
        <w:t>Вирсунгов</w:t>
      </w:r>
      <w:r>
        <w:rPr>
          <w:rFonts w:ascii="Times New Roman" w:hAnsi="Times New Roman"/>
          <w:sz w:val="22"/>
        </w:rPr>
        <w:t>) проток (до 2 мм): не визуализируется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железы: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объемных образований с учетом ЦДК: на участках, доступных визуализации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СЕЛЕЗЕНКА: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sz w:val="22"/>
        </w:rPr>
        <w:t>Расположение: типичное, форма обычная</w:t>
      </w:r>
    </w:p>
    <w:p>
      <w:pPr>
        <w:spacing w:after="0"/>
      </w:pPr>
      <w:r>
        <w:rPr>
          <w:rFonts w:ascii="Times New Roman" w:hAnsi="Times New Roman"/>
          <w:sz w:val="22"/>
        </w:rPr>
        <w:t>Размеры (120х50х70 мм) 120х42 см;   S = 29 см2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Контуры:  ровные, четкие; структура однородная; </w:t>
      </w:r>
      <w:r>
        <w:rPr>
          <w:rFonts w:ascii="Times New Roman" w:hAnsi="Times New Roman"/>
          <w:sz w:val="22"/>
        </w:rPr>
        <w:t>эхогенность</w:t>
      </w:r>
      <w:r>
        <w:rPr>
          <w:rFonts w:ascii="Times New Roman" w:hAnsi="Times New Roman"/>
          <w:sz w:val="22"/>
        </w:rPr>
        <w:t xml:space="preserve"> средняя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объемных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>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Селезеночная вена (4-8 мм) 6 мм, проходима, V-14 см/с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Забрюшинные лимфоузлы</w:t>
      </w:r>
      <w:r>
        <w:rPr>
          <w:rFonts w:ascii="Times New Roman" w:hAnsi="Times New Roman"/>
          <w:sz w:val="22"/>
        </w:rPr>
        <w:t xml:space="preserve"> (</w:t>
      </w:r>
      <w:r>
        <w:rPr>
          <w:rFonts w:ascii="Times New Roman" w:hAnsi="Times New Roman"/>
          <w:sz w:val="22"/>
        </w:rPr>
        <w:t>паракавальные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</w:rPr>
        <w:t>парааортальные</w:t>
      </w:r>
      <w:r>
        <w:rPr>
          <w:rFonts w:ascii="Times New Roman" w:hAnsi="Times New Roman"/>
          <w:sz w:val="22"/>
        </w:rPr>
        <w:t xml:space="preserve">) в типичных проекциях достоверно не </w:t>
      </w:r>
    </w:p>
    <w:p>
      <w:pPr>
        <w:spacing w:after="0"/>
      </w:pPr>
      <w:r>
        <w:rPr>
          <w:rFonts w:ascii="Times New Roman" w:hAnsi="Times New Roman"/>
          <w:sz w:val="22"/>
        </w:rPr>
        <w:t>визуализируются.</w:t>
      </w:r>
    </w:p>
    <w:p>
      <w:pPr>
        <w:spacing w:before="15" w:after="15"/>
      </w:pPr>
      <w:r>
        <w:rPr>
          <w:rFonts w:ascii="Times New Roman" w:hAnsi="Times New Roman"/>
          <w:b/>
          <w:sz w:val="22"/>
        </w:rPr>
        <w:t>Свободная жидкость</w:t>
      </w:r>
      <w:r>
        <w:rPr>
          <w:rFonts w:ascii="Times New Roman" w:hAnsi="Times New Roman"/>
          <w:sz w:val="22"/>
        </w:rPr>
        <w:t xml:space="preserve"> в брюшной полости не визуализирована.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b/>
          <w:sz w:val="22"/>
        </w:rPr>
        <w:t>ЗАКЛЮЧЕНИЕ 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Эхоструктурных</w:t>
      </w:r>
      <w:r>
        <w:rPr>
          <w:rFonts w:ascii="Times New Roman" w:hAnsi="Times New Roman"/>
          <w:sz w:val="22"/>
        </w:rPr>
        <w:t xml:space="preserve"> изменений не выявлено. </w:t>
      </w: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>Врач:_______________________________</w:t>
      </w:r>
    </w:p>
    <w:p>
      <w:pPr>
        <w:spacing w:after="0"/>
      </w:pPr>
      <w:r>
        <w:rPr>
          <w:rFonts w:ascii="Times New Roman" w:hAnsi="Times New Roman"/>
          <w:b/>
          <w:sz w:val="22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