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Комплексное ультразвуковое исследование молочных  желёз</w:t>
      </w:r>
      <w:r>
        <w:rPr>
          <w:rFonts w:ascii="Times New Roman" w:hAnsi="Times New Roman"/>
          <w:sz w:val="28"/>
        </w:rPr>
        <w:t xml:space="preserve"> 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 xml:space="preserve">Акустический доступ: достаточный </w:t>
      </w:r>
    </w:p>
    <w:p>
      <w:pPr>
        <w:spacing w:after="0"/>
      </w:pPr>
      <w:r>
        <w:rPr>
          <w:rFonts w:ascii="Times New Roman" w:hAnsi="Times New Roman"/>
          <w:sz w:val="22"/>
        </w:rPr>
        <w:t>День МЦ:              I II Фаза</w:t>
      </w:r>
    </w:p>
    <w:p>
      <w:pPr>
        <w:spacing w:after="0"/>
      </w:pPr>
      <w:r>
        <w:rPr>
          <w:rFonts w:ascii="Times New Roman" w:hAnsi="Times New Roman"/>
          <w:sz w:val="22"/>
        </w:rPr>
        <w:t>Гормональная терапия: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Оперативные вмешательства: </w:t>
      </w:r>
    </w:p>
    <w:p>
      <w:pPr>
        <w:spacing w:after="0"/>
      </w:pPr>
      <w:r>
        <w:rPr>
          <w:rFonts w:ascii="Times New Roman" w:hAnsi="Times New Roman"/>
          <w:sz w:val="22"/>
        </w:rPr>
        <w:t>Данные осмотра: молочные железы симметричные, кожные покровы, ареолы не изменены, втягивания сосков не отмечается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Тип строения: железистый, жировой, смешанный с преобладанием железистого, жирового компонента    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>Ультразвуковая архитектоника: сохранена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>Эхогенность</w:t>
      </w:r>
      <w:r>
        <w:rPr>
          <w:rFonts w:ascii="Times New Roman" w:hAnsi="Times New Roman"/>
          <w:sz w:val="22"/>
        </w:rPr>
        <w:t>: средняя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>Млечные протоки: главные и периферические млечные протоки не расширены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 xml:space="preserve">Наличие объемных образований с учетом ЦДК: 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 xml:space="preserve">     Справа: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 xml:space="preserve">     Слева:</w:t>
      </w:r>
    </w:p>
    <w:p>
      <w:pPr>
        <w:spacing w:before="15" w:after="15"/>
        <w:jc w:val="both"/>
      </w:pPr>
      <w:r>
        <w:rPr>
          <w:rFonts w:ascii="Times New Roman" w:hAnsi="Times New Roman"/>
          <w:sz w:val="22"/>
        </w:rPr>
        <w:t xml:space="preserve">Регионарные лимфоузлы: с обеих сторон не визуализируются справа слева с обеих сторон визуализируются единичные множественные </w:t>
      </w:r>
      <w:r>
        <w:rPr>
          <w:rFonts w:ascii="Times New Roman" w:hAnsi="Times New Roman"/>
          <w:sz w:val="22"/>
        </w:rPr>
        <w:t>аксилярные</w:t>
      </w:r>
      <w:r>
        <w:rPr>
          <w:rFonts w:ascii="Times New Roman" w:hAnsi="Times New Roman"/>
          <w:sz w:val="22"/>
        </w:rPr>
        <w:t xml:space="preserve"> лимфоузлы преимущественно овальной формы, с сохраненной КМД, без признаков </w:t>
      </w:r>
      <w:r>
        <w:rPr>
          <w:rFonts w:ascii="Times New Roman" w:hAnsi="Times New Roman"/>
          <w:sz w:val="22"/>
        </w:rPr>
        <w:t>гиперваскуляризации</w:t>
      </w:r>
      <w:r>
        <w:rPr>
          <w:rFonts w:ascii="Times New Roman" w:hAnsi="Times New Roman"/>
          <w:sz w:val="22"/>
        </w:rPr>
        <w:t xml:space="preserve"> при ЦДК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sz w:val="22"/>
        </w:rPr>
        <w:t xml:space="preserve">ЗАКЛЮЧЕНИЕ: </w:t>
      </w:r>
      <w:r>
        <w:rPr>
          <w:rFonts w:ascii="Times New Roman" w:hAnsi="Times New Roman"/>
          <w:sz w:val="22"/>
        </w:rPr>
        <w:t>Эхографическая</w:t>
      </w:r>
      <w:r>
        <w:rPr>
          <w:rFonts w:ascii="Times New Roman" w:hAnsi="Times New Roman"/>
          <w:sz w:val="22"/>
        </w:rPr>
        <w:t xml:space="preserve"> картина соответствует полу, анамнезу и фазе МЦ. 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195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b/>
          <w:sz w:val="22"/>
        </w:rPr>
        <w:t xml:space="preserve">Врач________________________ 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