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Ультразвуковое исследование щитовидной железы</w:t>
      </w:r>
      <w:r>
        <w:rPr>
          <w:rFonts w:ascii="Times New Roman" w:hAnsi="Times New Roman"/>
          <w:sz w:val="28"/>
        </w:rPr>
        <w:t xml:space="preserve"> 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 xml:space="preserve">Акустический доступ: достаточный </w:t>
      </w:r>
    </w:p>
    <w:p>
      <w:pPr>
        <w:spacing w:after="0"/>
      </w:pPr>
      <w:r>
        <w:rPr>
          <w:rFonts w:ascii="Times New Roman" w:hAnsi="Times New Roman"/>
          <w:sz w:val="22"/>
        </w:rPr>
        <w:t>Расположение: типичное; контуры ровные; форма обычная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Размеры: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    Толщина перешейка 0,35 см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     Правая доля:    2,0 х 1,7 х 4,9 см        V- 7,98 см3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    Левая доля:       2,0 х 1,7 х 4,9 см         V- 7,98 см3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Общий объем железы: V – 15,41 см3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железы: относительно однородная,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средняя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Справа: </w:t>
      </w:r>
    </w:p>
    <w:p>
      <w:pPr>
        <w:spacing w:after="0"/>
      </w:pPr>
      <w:r>
        <w:rPr>
          <w:rFonts w:ascii="Times New Roman" w:hAnsi="Times New Roman"/>
          <w:sz w:val="22"/>
        </w:rPr>
        <w:t>Слева: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железы: не усилена, V – 15 см/с; RI – 0,5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Регионарные лимфоузлы: не визуализируются; с обеих сторон визуализируются множественные единичные </w:t>
      </w:r>
      <w:r>
        <w:rPr>
          <w:rFonts w:ascii="Times New Roman" w:hAnsi="Times New Roman"/>
          <w:sz w:val="22"/>
        </w:rPr>
        <w:t>передне</w:t>
      </w:r>
      <w:r>
        <w:rPr>
          <w:rFonts w:ascii="Times New Roman" w:hAnsi="Times New Roman"/>
          <w:sz w:val="22"/>
        </w:rPr>
        <w:t xml:space="preserve">-шейные и подчелюстные лимфоузлы  преимущественно овальной формы, с сохраненной КМД, без признаков </w:t>
      </w:r>
      <w:r>
        <w:rPr>
          <w:rFonts w:ascii="Times New Roman" w:hAnsi="Times New Roman"/>
          <w:sz w:val="22"/>
        </w:rPr>
        <w:t>гиперваскуляризации</w:t>
      </w:r>
      <w:r>
        <w:rPr>
          <w:rFonts w:ascii="Times New Roman" w:hAnsi="Times New Roman"/>
          <w:sz w:val="22"/>
        </w:rPr>
        <w:t xml:space="preserve"> при ЦДК, размерами: </w:t>
      </w:r>
      <w:r>
        <w:rPr>
          <w:rFonts w:ascii="Times New Roman" w:hAnsi="Times New Roman"/>
          <w:sz w:val="22"/>
        </w:rPr>
        <w:t>передне</w:t>
      </w:r>
      <w:r>
        <w:rPr>
          <w:rFonts w:ascii="Times New Roman" w:hAnsi="Times New Roman"/>
          <w:sz w:val="22"/>
        </w:rPr>
        <w:t>-шейные до 0,9х0,5 см; подчелюстные до  0,8х0,5 см</w:t>
      </w:r>
    </w:p>
    <w:p>
      <w:pPr>
        <w:spacing w:before="15" w:after="15"/>
        <w:jc w:val="both"/>
      </w:pPr>
      <w:r>
        <w:rPr>
          <w:rFonts w:ascii="Times New Roman" w:hAnsi="Times New Roman"/>
          <w:sz w:val="22"/>
        </w:rPr>
        <w:t>Паращитовидные железы: с обеих сторон не визуализируются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 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</w:t>
      </w:r>
    </w:p>
    <w:p>
      <w:pPr>
        <w:spacing w:after="0"/>
        <w:jc w:val="both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195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2"/>
        </w:rPr>
        <w:t>Врач________________________ 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