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rPr>
          <w:rFonts w:hint="eastAsia"/>
        </w:rPr>
      </w:pPr>
      <w:r>
        <w:rPr>
          <w:rFonts w:hint="eastAsia"/>
        </w:rPr>
        <w:drawing>
          <wp:inline distT="0" distB="0" distL="114300" distR="114300">
            <wp:extent cx="1598295" cy="601980"/>
            <wp:effectExtent l="0" t="0" r="190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1598295" cy="601980"/>
                    </a:xfrm>
                    <a:prstGeom prst="rect">
                      <a:avLst/>
                    </a:prstGeom>
                    <a:noFill/>
                    <a:ln w="9525">
                      <a:noFill/>
                    </a:ln>
                  </pic:spPr>
                </pic:pic>
              </a:graphicData>
            </a:graphic>
          </wp:inline>
        </w:drawing>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5508"/>
        <w:gridCol w:w="3014"/>
      </w:tblGrid>
      <w:tr>
        <w:tblPrEx>
          <w:tblLayout w:type="fixed"/>
          <w:tblCellMar>
            <w:left w:w="108" w:type="dxa"/>
            <w:right w:w="108" w:type="dxa"/>
          </w:tblCellMar>
        </w:tblPrEx>
        <w:tc>
          <w:tcPr>
            <w:tcW w:w="8522" w:type="dxa"/>
            <w:gridSpan w:val="2"/>
            <w:noWrap w:val="0"/>
            <w:vAlign w:val="top"/>
          </w:tcPr>
          <w:p>
            <w:pPr>
              <w:spacing w:line="400" w:lineRule="exact"/>
              <w:rPr>
                <w:rFonts w:hint="eastAsia"/>
                <w:b/>
                <w:bCs/>
                <w:sz w:val="24"/>
              </w:rPr>
            </w:pPr>
            <w:r>
              <w:rPr>
                <w:rFonts w:hint="eastAsia"/>
                <w:b/>
                <w:bCs/>
                <w:sz w:val="24"/>
              </w:rPr>
              <w:t>药品质量标准的建立</w:t>
            </w:r>
          </w:p>
          <w:p>
            <w:pPr>
              <w:spacing w:line="400" w:lineRule="exact"/>
              <w:rPr>
                <w:rFonts w:hint="eastAsia"/>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508" w:type="dxa"/>
            <w:vMerge w:val="restart"/>
            <w:noWrap w:val="0"/>
            <w:vAlign w:val="top"/>
          </w:tcPr>
          <w:p>
            <w:pPr>
              <w:spacing w:before="156" w:beforeLines="50" w:after="156" w:afterLines="50" w:line="400" w:lineRule="exact"/>
              <w:rPr>
                <w:rFonts w:hint="eastAsia"/>
                <w:b/>
                <w:bCs/>
                <w:sz w:val="24"/>
              </w:rPr>
            </w:pPr>
            <w:r>
              <w:rPr>
                <w:rFonts w:hint="eastAsia"/>
                <w:b/>
                <w:bCs/>
                <w:sz w:val="24"/>
              </w:rPr>
              <w:t>BEA 2180 BR Respimat</w:t>
            </w:r>
            <w:r>
              <w:rPr>
                <w:b/>
                <w:bCs/>
                <w:sz w:val="24"/>
                <w:vertAlign w:val="superscript"/>
              </w:rPr>
              <w:t>®</w:t>
            </w:r>
            <w:r>
              <w:rPr>
                <w:rFonts w:hint="eastAsia"/>
                <w:b/>
                <w:bCs/>
                <w:sz w:val="24"/>
              </w:rPr>
              <w:t>吸入液</w:t>
            </w:r>
          </w:p>
          <w:p>
            <w:pPr>
              <w:spacing w:line="400" w:lineRule="exact"/>
              <w:rPr>
                <w:rFonts w:hint="eastAsia"/>
                <w:b/>
                <w:bCs/>
                <w:sz w:val="24"/>
              </w:rPr>
            </w:pPr>
          </w:p>
        </w:tc>
        <w:tc>
          <w:tcPr>
            <w:tcW w:w="3014" w:type="dxa"/>
            <w:noWrap w:val="0"/>
            <w:vAlign w:val="top"/>
          </w:tcPr>
          <w:p>
            <w:pPr>
              <w:rPr>
                <w:rFonts w:hint="eastAsia"/>
              </w:rPr>
            </w:pPr>
            <w:r>
              <w:rPr>
                <w:rFonts w:hint="eastAsia"/>
              </w:rPr>
              <w:t>内部编号</w:t>
            </w:r>
          </w:p>
          <w:p>
            <w:pPr>
              <w:rPr>
                <w:rFonts w:hint="eastAsia"/>
              </w:rPr>
            </w:pPr>
            <w:r>
              <w:rPr>
                <w:rFonts w:hint="eastAsia"/>
              </w:rPr>
              <w:t xml:space="preserve">    ADD 1358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508" w:type="dxa"/>
            <w:vMerge w:val="continue"/>
            <w:noWrap w:val="0"/>
            <w:vAlign w:val="top"/>
          </w:tcPr>
          <w:p>
            <w:pPr>
              <w:spacing w:line="400" w:lineRule="exact"/>
              <w:rPr>
                <w:rFonts w:hint="eastAsia"/>
                <w:sz w:val="24"/>
              </w:rPr>
            </w:pPr>
          </w:p>
        </w:tc>
        <w:tc>
          <w:tcPr>
            <w:tcW w:w="3014" w:type="dxa"/>
            <w:noWrap w:val="0"/>
            <w:vAlign w:val="top"/>
          </w:tcPr>
          <w:p>
            <w:pPr>
              <w:rPr>
                <w:rFonts w:hint="eastAsia"/>
              </w:rPr>
            </w:pPr>
            <w:r>
              <w:rPr>
                <w:rFonts w:hint="eastAsia"/>
              </w:rPr>
              <w:t>文件编号</w:t>
            </w:r>
          </w:p>
          <w:p>
            <w:pPr>
              <w:rPr>
                <w:rFonts w:hint="eastAsia"/>
              </w:rPr>
            </w:pPr>
            <w:r>
              <w:rPr>
                <w:rFonts w:hint="eastAsia"/>
              </w:rPr>
              <w:t xml:space="preserve">    U07-1380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508" w:type="dxa"/>
            <w:vMerge w:val="continue"/>
            <w:noWrap w:val="0"/>
            <w:vAlign w:val="top"/>
          </w:tcPr>
          <w:p>
            <w:pPr>
              <w:spacing w:line="400" w:lineRule="exact"/>
              <w:rPr>
                <w:rFonts w:hint="eastAsia"/>
                <w:sz w:val="24"/>
              </w:rPr>
            </w:pPr>
          </w:p>
        </w:tc>
        <w:tc>
          <w:tcPr>
            <w:tcW w:w="3014" w:type="dxa"/>
            <w:noWrap w:val="0"/>
            <w:vAlign w:val="top"/>
          </w:tcPr>
          <w:p>
            <w:pPr>
              <w:rPr>
                <w:rFonts w:hint="eastAsia"/>
              </w:rPr>
            </w:pPr>
            <w:r>
              <w:rPr>
                <w:rFonts w:hint="eastAsia"/>
              </w:rPr>
              <w:t>日期</w:t>
            </w:r>
          </w:p>
          <w:p>
            <w:pPr>
              <w:rPr>
                <w:rFonts w:hint="eastAsia"/>
              </w:rPr>
            </w:pPr>
            <w:r>
              <w:rPr>
                <w:rFonts w:hint="eastAsia"/>
              </w:rPr>
              <w:t xml:space="preserve">    2007年5月10日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508" w:type="dxa"/>
            <w:vMerge w:val="continue"/>
            <w:noWrap w:val="0"/>
            <w:vAlign w:val="top"/>
          </w:tcPr>
          <w:p>
            <w:pPr>
              <w:spacing w:line="400" w:lineRule="exact"/>
              <w:rPr>
                <w:rFonts w:hint="eastAsia"/>
                <w:sz w:val="24"/>
              </w:rPr>
            </w:pPr>
          </w:p>
        </w:tc>
        <w:tc>
          <w:tcPr>
            <w:tcW w:w="3014" w:type="dxa"/>
            <w:noWrap w:val="0"/>
            <w:vAlign w:val="top"/>
          </w:tcPr>
          <w:p>
            <w:pPr>
              <w:rPr>
                <w:rFonts w:hint="eastAsia"/>
              </w:rPr>
            </w:pPr>
            <w:r>
              <w:rPr>
                <w:rFonts w:hint="eastAsia"/>
              </w:rPr>
              <w:t>页码</w:t>
            </w:r>
          </w:p>
          <w:p>
            <w:pPr>
              <w:rPr>
                <w:rFonts w:hint="eastAsia"/>
              </w:rPr>
            </w:pPr>
            <w:r>
              <w:rPr>
                <w:rFonts w:hint="eastAsia"/>
              </w:rPr>
              <w:t xml:space="preserve">    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2"/>
            <w:noWrap w:val="0"/>
            <w:vAlign w:val="top"/>
          </w:tcPr>
          <w:p>
            <w:pPr>
              <w:pStyle w:val="21"/>
              <w:adjustRightInd w:val="0"/>
              <w:snapToGrid w:val="0"/>
              <w:spacing w:before="62" w:beforeLines="20"/>
              <w:ind w:left="142"/>
              <w:jc w:val="center"/>
              <w:rPr>
                <w:rFonts w:ascii="Times New Roman" w:hAnsi="Times New Roman" w:cs="Times New Roman"/>
                <w:sz w:val="18"/>
                <w:szCs w:val="18"/>
                <w:lang w:val="en-GB" w:eastAsia="zh-CN"/>
              </w:rPr>
            </w:pPr>
            <w:r>
              <w:rPr>
                <w:rFonts w:hint="eastAsia" w:ascii="Times New Roman" w:hAnsi="Times New Roman" w:cs="宋体"/>
                <w:sz w:val="18"/>
                <w:szCs w:val="18"/>
                <w:lang w:val="en-GB" w:eastAsia="zh-CN"/>
              </w:rPr>
              <w:t>版权所有，机密信息。</w:t>
            </w:r>
          </w:p>
          <w:p>
            <w:pPr>
              <w:pStyle w:val="21"/>
              <w:adjustRightInd w:val="0"/>
              <w:snapToGrid w:val="0"/>
              <w:spacing w:before="0"/>
              <w:ind w:left="142"/>
              <w:jc w:val="center"/>
              <w:rPr>
                <w:rFonts w:ascii="Times New Roman" w:hAnsi="Times New Roman" w:cs="Times New Roman"/>
                <w:sz w:val="18"/>
                <w:szCs w:val="18"/>
                <w:lang w:val="en-GB" w:eastAsia="zh-CN"/>
              </w:rPr>
            </w:pPr>
            <w:r>
              <w:rPr>
                <w:rFonts w:ascii="Times New Roman" w:hAnsi="Times New Roman" w:cs="Times New Roman"/>
                <w:sz w:val="18"/>
                <w:szCs w:val="18"/>
                <w:lang w:val="en-GB" w:eastAsia="de-DE"/>
              </w:rPr>
              <w:sym w:font="Symbol" w:char="F0E3"/>
            </w:r>
            <w:r>
              <w:rPr>
                <w:rFonts w:hint="eastAsia" w:ascii="Times New Roman" w:hAnsi="Times New Roman" w:cs="Times New Roman"/>
                <w:sz w:val="18"/>
                <w:szCs w:val="18"/>
                <w:lang w:val="en-GB" w:eastAsia="zh-CN"/>
              </w:rPr>
              <w:t xml:space="preserve"> 2007 </w:t>
            </w:r>
            <w:r>
              <w:rPr>
                <w:rFonts w:ascii="Times New Roman" w:hAnsi="Times New Roman" w:cs="Times New Roman"/>
                <w:sz w:val="18"/>
                <w:szCs w:val="18"/>
                <w:lang w:val="en-GB" w:eastAsia="de-DE"/>
              </w:rPr>
              <w:t>Boehringer Ingelheim International GmbH</w:t>
            </w:r>
            <w:r>
              <w:rPr>
                <w:rFonts w:hint="eastAsia" w:ascii="Times New Roman" w:hAnsi="Times New Roman" w:cs="宋体"/>
                <w:sz w:val="18"/>
                <w:szCs w:val="18"/>
                <w:lang w:val="en-GB" w:eastAsia="zh-CN"/>
              </w:rPr>
              <w:t>或其下属公司</w:t>
            </w:r>
          </w:p>
          <w:p>
            <w:pPr>
              <w:spacing w:after="62" w:afterLines="20"/>
              <w:jc w:val="center"/>
              <w:rPr>
                <w:rFonts w:hint="eastAsia"/>
                <w:sz w:val="24"/>
              </w:rPr>
            </w:pPr>
            <w:r>
              <w:rPr>
                <w:rFonts w:hint="eastAsia" w:cs="宋体"/>
                <w:sz w:val="18"/>
                <w:szCs w:val="16"/>
                <w:lang w:val="en-GB"/>
              </w:rPr>
              <w:t>本文件未取得书面授权前，不得（全部或部分）传播，复制，出版或用于其他用途！</w:t>
            </w:r>
          </w:p>
        </w:tc>
      </w:tr>
    </w:tbl>
    <w:p>
      <w:pPr>
        <w:spacing w:before="156" w:beforeLines="50" w:after="156" w:afterLines="50" w:line="400" w:lineRule="exact"/>
        <w:rPr>
          <w:sz w:val="24"/>
        </w:rPr>
        <w:sectPr>
          <w:headerReference r:id="rId5" w:type="first"/>
          <w:footerReference r:id="rId8" w:type="first"/>
          <w:headerReference r:id="rId3" w:type="default"/>
          <w:footerReference r:id="rId6" w:type="default"/>
          <w:headerReference r:id="rId4" w:type="even"/>
          <w:footerReference r:id="rId7" w:type="even"/>
          <w:footnotePr>
            <w:numFmt w:val="decimal"/>
          </w:footnotePr>
          <w:pgSz w:w="11906" w:h="16838"/>
          <w:pgMar w:top="1440" w:right="1800" w:bottom="1440" w:left="1800" w:header="851" w:footer="992" w:gutter="0"/>
          <w:cols w:space="425" w:num="1"/>
          <w:docGrid w:type="lines" w:linePitch="312" w:charSpace="0"/>
        </w:sectPr>
      </w:pPr>
    </w:p>
    <w:p>
      <w:pPr>
        <w:pStyle w:val="2"/>
        <w:spacing w:before="120" w:after="120" w:line="400" w:lineRule="exact"/>
        <w:rPr>
          <w:rFonts w:hint="eastAsia"/>
          <w:sz w:val="24"/>
        </w:rPr>
      </w:pPr>
      <w:bookmarkStart w:id="0" w:name="_Toc188944291"/>
      <w:r>
        <w:rPr>
          <w:rFonts w:hint="eastAsia"/>
          <w:sz w:val="24"/>
        </w:rPr>
        <w:t>首字母缩写、别名和缩略语</w:t>
      </w:r>
      <w:bookmarkEnd w:id="0"/>
    </w:p>
    <w:p>
      <w:pPr>
        <w:spacing w:line="400" w:lineRule="exact"/>
        <w:rPr>
          <w:rFonts w:hint="eastAsia"/>
          <w:sz w:val="24"/>
        </w:rPr>
      </w:pPr>
      <w:r>
        <w:rPr>
          <w:rFonts w:hint="eastAsia"/>
          <w:sz w:val="24"/>
        </w:rPr>
        <w:t>ACI</w:t>
      </w:r>
      <w:r>
        <w:rPr>
          <w:rFonts w:hint="eastAsia"/>
          <w:sz w:val="24"/>
        </w:rPr>
        <w:tab/>
      </w:r>
      <w:r>
        <w:rPr>
          <w:rFonts w:hint="eastAsia"/>
          <w:sz w:val="24"/>
        </w:rPr>
        <w:tab/>
      </w:r>
      <w:r>
        <w:rPr>
          <w:rFonts w:hint="eastAsia"/>
          <w:sz w:val="24"/>
        </w:rPr>
        <w:tab/>
      </w:r>
      <w:r>
        <w:rPr>
          <w:rFonts w:hint="eastAsia"/>
          <w:sz w:val="24"/>
        </w:rPr>
        <w:tab/>
      </w:r>
      <w:r>
        <w:rPr>
          <w:rFonts w:hint="eastAsia"/>
          <w:sz w:val="24"/>
        </w:rPr>
        <w:t>Andersen多级圆盘撞击取样器</w:t>
      </w:r>
    </w:p>
    <w:p>
      <w:pPr>
        <w:spacing w:line="400" w:lineRule="exact"/>
        <w:rPr>
          <w:rFonts w:hint="eastAsia"/>
          <w:sz w:val="24"/>
        </w:rPr>
      </w:pPr>
      <w:r>
        <w:rPr>
          <w:rFonts w:hint="eastAsia"/>
          <w:sz w:val="24"/>
        </w:rPr>
        <w:t>EMEA</w:t>
      </w:r>
      <w:r>
        <w:rPr>
          <w:rFonts w:hint="eastAsia"/>
          <w:sz w:val="24"/>
        </w:rPr>
        <w:tab/>
      </w:r>
      <w:r>
        <w:rPr>
          <w:rFonts w:hint="eastAsia"/>
          <w:sz w:val="24"/>
        </w:rPr>
        <w:tab/>
      </w:r>
      <w:r>
        <w:rPr>
          <w:rFonts w:hint="eastAsia"/>
          <w:sz w:val="24"/>
        </w:rPr>
        <w:tab/>
      </w:r>
      <w:r>
        <w:rPr>
          <w:rFonts w:hint="eastAsia"/>
          <w:sz w:val="24"/>
        </w:rPr>
        <w:t>欧洲医药署</w:t>
      </w:r>
    </w:p>
    <w:p>
      <w:pPr>
        <w:spacing w:line="400" w:lineRule="exact"/>
        <w:rPr>
          <w:rFonts w:hint="eastAsia"/>
          <w:sz w:val="24"/>
        </w:rPr>
      </w:pPr>
      <w:r>
        <w:rPr>
          <w:rFonts w:hint="eastAsia"/>
          <w:sz w:val="24"/>
        </w:rPr>
        <w:t>ICH</w:t>
      </w:r>
      <w:r>
        <w:rPr>
          <w:rFonts w:hint="eastAsia"/>
          <w:sz w:val="24"/>
        </w:rPr>
        <w:tab/>
      </w:r>
      <w:r>
        <w:rPr>
          <w:rFonts w:hint="eastAsia"/>
          <w:sz w:val="24"/>
        </w:rPr>
        <w:tab/>
      </w:r>
      <w:r>
        <w:rPr>
          <w:rFonts w:hint="eastAsia"/>
          <w:sz w:val="24"/>
        </w:rPr>
        <w:tab/>
      </w:r>
      <w:r>
        <w:rPr>
          <w:rFonts w:hint="eastAsia"/>
          <w:sz w:val="24"/>
        </w:rPr>
        <w:tab/>
      </w:r>
      <w:r>
        <w:rPr>
          <w:rFonts w:hint="eastAsia"/>
          <w:sz w:val="24"/>
        </w:rPr>
        <w:t>人用药品注册技术要求国际协调会议</w:t>
      </w:r>
    </w:p>
    <w:p>
      <w:pPr>
        <w:spacing w:line="400" w:lineRule="exact"/>
        <w:rPr>
          <w:rFonts w:hint="eastAsia"/>
          <w:sz w:val="24"/>
        </w:rPr>
      </w:pPr>
      <w:r>
        <w:rPr>
          <w:rFonts w:hint="eastAsia"/>
          <w:sz w:val="24"/>
        </w:rPr>
        <w:t>NMT</w:t>
      </w:r>
      <w:r>
        <w:rPr>
          <w:rFonts w:hint="eastAsia"/>
          <w:sz w:val="24"/>
        </w:rPr>
        <w:tab/>
      </w:r>
      <w:r>
        <w:rPr>
          <w:rFonts w:hint="eastAsia"/>
          <w:sz w:val="24"/>
        </w:rPr>
        <w:tab/>
      </w:r>
      <w:r>
        <w:rPr>
          <w:rFonts w:hint="eastAsia"/>
          <w:sz w:val="24"/>
        </w:rPr>
        <w:tab/>
      </w:r>
      <w:r>
        <w:rPr>
          <w:rFonts w:hint="eastAsia"/>
          <w:sz w:val="24"/>
        </w:rPr>
        <w:t>不得过</w:t>
      </w:r>
    </w:p>
    <w:p>
      <w:pPr>
        <w:spacing w:line="400" w:lineRule="exact"/>
        <w:rPr>
          <w:rFonts w:hint="eastAsia"/>
        </w:rPr>
      </w:pPr>
      <w:r>
        <w:rPr>
          <w:rFonts w:hint="eastAsia"/>
          <w:sz w:val="24"/>
        </w:rPr>
        <w:t>Ph. Eur.</w:t>
      </w:r>
      <w:r>
        <w:rPr>
          <w:rFonts w:hint="eastAsia"/>
          <w:sz w:val="24"/>
        </w:rPr>
        <w:tab/>
      </w:r>
      <w:r>
        <w:rPr>
          <w:rFonts w:hint="eastAsia"/>
          <w:sz w:val="24"/>
        </w:rPr>
        <w:tab/>
      </w:r>
      <w:r>
        <w:rPr>
          <w:rFonts w:hint="eastAsia"/>
          <w:sz w:val="24"/>
        </w:rPr>
        <w:tab/>
      </w:r>
      <w:r>
        <w:rPr>
          <w:rFonts w:hint="eastAsia"/>
          <w:sz w:val="24"/>
        </w:rPr>
        <w:t>欧洲药典</w:t>
      </w:r>
      <w:bookmarkStart w:id="9" w:name="_GoBack"/>
      <w:bookmarkEnd w:id="9"/>
    </w:p>
    <w:p>
      <w:pPr>
        <w:pStyle w:val="2"/>
        <w:spacing w:before="120" w:after="120" w:line="400" w:lineRule="exact"/>
        <w:rPr>
          <w:rFonts w:hint="eastAsia"/>
          <w:sz w:val="24"/>
        </w:rPr>
      </w:pPr>
      <w:r>
        <w:br w:type="page"/>
      </w:r>
      <w:bookmarkStart w:id="1" w:name="_Toc188944292"/>
      <w:r>
        <w:rPr>
          <w:rFonts w:hint="eastAsia"/>
          <w:sz w:val="24"/>
        </w:rPr>
        <w:t>目录</w:t>
      </w:r>
      <w:bookmarkEnd w:id="1"/>
    </w:p>
    <w:p>
      <w:pPr>
        <w:pStyle w:val="11"/>
        <w:tabs>
          <w:tab w:val="right" w:leader="dot" w:pos="8296"/>
        </w:tabs>
        <w:spacing w:line="400" w:lineRule="exact"/>
        <w:rPr>
          <w:sz w:val="24"/>
          <w:lang/>
        </w:rPr>
      </w:pPr>
      <w:r>
        <w:rPr>
          <w:b/>
          <w:bCs/>
          <w:sz w:val="24"/>
        </w:rPr>
        <w:fldChar w:fldCharType="begin"/>
      </w:r>
      <w:r>
        <w:rPr>
          <w:b/>
          <w:bCs/>
          <w:sz w:val="24"/>
        </w:rPr>
        <w:instrText xml:space="preserve"> TOC \o "1-3" \h \z </w:instrText>
      </w:r>
      <w:r>
        <w:rPr>
          <w:b/>
          <w:bCs/>
          <w:sz w:val="24"/>
        </w:rPr>
        <w:fldChar w:fldCharType="separate"/>
      </w:r>
      <w:r>
        <w:rPr>
          <w:rStyle w:val="19"/>
          <w:sz w:val="24"/>
          <w:lang/>
        </w:rPr>
        <w:fldChar w:fldCharType="begin"/>
      </w:r>
      <w:r>
        <w:rPr>
          <w:rStyle w:val="19"/>
          <w:sz w:val="24"/>
          <w:lang/>
        </w:rPr>
        <w:instrText xml:space="preserve"> </w:instrText>
      </w:r>
      <w:r>
        <w:rPr>
          <w:sz w:val="24"/>
          <w:lang/>
        </w:rPr>
        <w:instrText xml:space="preserve">HYPERLINK \l "_Toc188944291"</w:instrText>
      </w:r>
      <w:r>
        <w:rPr>
          <w:rStyle w:val="19"/>
          <w:sz w:val="24"/>
          <w:lang/>
        </w:rPr>
        <w:instrText xml:space="preserve"> </w:instrText>
      </w:r>
      <w:r>
        <w:rPr>
          <w:rStyle w:val="19"/>
          <w:sz w:val="24"/>
          <w:lang/>
        </w:rPr>
        <w:fldChar w:fldCharType="separate"/>
      </w:r>
      <w:r>
        <w:rPr>
          <w:rStyle w:val="19"/>
          <w:rFonts w:hint="eastAsia"/>
          <w:sz w:val="24"/>
          <w:lang/>
        </w:rPr>
        <w:t>首字母缩写、别名和缩略语</w:t>
      </w:r>
      <w:r>
        <w:rPr>
          <w:sz w:val="24"/>
          <w:lang/>
        </w:rPr>
        <w:tab/>
      </w:r>
      <w:r>
        <w:rPr>
          <w:sz w:val="24"/>
          <w:lang/>
        </w:rPr>
        <w:fldChar w:fldCharType="begin"/>
      </w:r>
      <w:r>
        <w:rPr>
          <w:sz w:val="24"/>
          <w:lang/>
        </w:rPr>
        <w:instrText xml:space="preserve"> PAGEREF _Toc188944291 \h </w:instrText>
      </w:r>
      <w:r>
        <w:rPr>
          <w:sz w:val="24"/>
          <w:lang/>
        </w:rPr>
        <w:fldChar w:fldCharType="separate"/>
      </w:r>
      <w:r>
        <w:rPr>
          <w:sz w:val="24"/>
          <w:lang/>
        </w:rPr>
        <w:t>1</w:t>
      </w:r>
      <w:r>
        <w:rPr>
          <w:sz w:val="24"/>
          <w:lang/>
        </w:rPr>
        <w:fldChar w:fldCharType="end"/>
      </w:r>
      <w:r>
        <w:rPr>
          <w:rStyle w:val="19"/>
          <w:sz w:val="24"/>
          <w:lang/>
        </w:rPr>
        <w:fldChar w:fldCharType="end"/>
      </w:r>
    </w:p>
    <w:p>
      <w:pPr>
        <w:pStyle w:val="11"/>
        <w:tabs>
          <w:tab w:val="right" w:leader="dot" w:pos="8296"/>
        </w:tabs>
        <w:spacing w:line="400" w:lineRule="exact"/>
        <w:rPr>
          <w:sz w:val="24"/>
          <w:lang/>
        </w:rPr>
      </w:pPr>
      <w:r>
        <w:rPr>
          <w:rStyle w:val="19"/>
          <w:sz w:val="24"/>
          <w:lang/>
        </w:rPr>
        <w:fldChar w:fldCharType="begin"/>
      </w:r>
      <w:r>
        <w:rPr>
          <w:rStyle w:val="19"/>
          <w:sz w:val="24"/>
          <w:lang/>
        </w:rPr>
        <w:instrText xml:space="preserve"> </w:instrText>
      </w:r>
      <w:r>
        <w:rPr>
          <w:sz w:val="24"/>
          <w:lang/>
        </w:rPr>
        <w:instrText xml:space="preserve">HYPERLINK \l "_Toc188944292"</w:instrText>
      </w:r>
      <w:r>
        <w:rPr>
          <w:rStyle w:val="19"/>
          <w:sz w:val="24"/>
          <w:lang/>
        </w:rPr>
        <w:instrText xml:space="preserve"> </w:instrText>
      </w:r>
      <w:r>
        <w:rPr>
          <w:rStyle w:val="19"/>
          <w:sz w:val="24"/>
          <w:lang/>
        </w:rPr>
        <w:fldChar w:fldCharType="separate"/>
      </w:r>
      <w:r>
        <w:rPr>
          <w:rStyle w:val="19"/>
          <w:rFonts w:hint="eastAsia"/>
          <w:sz w:val="24"/>
          <w:lang/>
        </w:rPr>
        <w:t>目录</w:t>
      </w:r>
      <w:r>
        <w:rPr>
          <w:sz w:val="24"/>
          <w:lang/>
        </w:rPr>
        <w:tab/>
      </w:r>
      <w:r>
        <w:rPr>
          <w:sz w:val="24"/>
          <w:lang/>
        </w:rPr>
        <w:fldChar w:fldCharType="begin"/>
      </w:r>
      <w:r>
        <w:rPr>
          <w:sz w:val="24"/>
          <w:lang/>
        </w:rPr>
        <w:instrText xml:space="preserve"> PAGEREF _Toc188944292 \h </w:instrText>
      </w:r>
      <w:r>
        <w:rPr>
          <w:sz w:val="24"/>
          <w:lang/>
        </w:rPr>
        <w:fldChar w:fldCharType="separate"/>
      </w:r>
      <w:r>
        <w:rPr>
          <w:sz w:val="24"/>
          <w:lang/>
        </w:rPr>
        <w:t>2</w:t>
      </w:r>
      <w:r>
        <w:rPr>
          <w:sz w:val="24"/>
          <w:lang/>
        </w:rPr>
        <w:fldChar w:fldCharType="end"/>
      </w:r>
      <w:r>
        <w:rPr>
          <w:rStyle w:val="19"/>
          <w:sz w:val="24"/>
          <w:lang/>
        </w:rPr>
        <w:fldChar w:fldCharType="end"/>
      </w:r>
    </w:p>
    <w:p>
      <w:pPr>
        <w:pStyle w:val="11"/>
        <w:tabs>
          <w:tab w:val="right" w:leader="dot" w:pos="8296"/>
        </w:tabs>
        <w:spacing w:line="400" w:lineRule="exact"/>
        <w:rPr>
          <w:sz w:val="24"/>
          <w:lang/>
        </w:rPr>
      </w:pPr>
      <w:r>
        <w:rPr>
          <w:rStyle w:val="19"/>
          <w:sz w:val="24"/>
          <w:lang/>
        </w:rPr>
        <w:fldChar w:fldCharType="begin"/>
      </w:r>
      <w:r>
        <w:rPr>
          <w:rStyle w:val="19"/>
          <w:sz w:val="24"/>
          <w:lang/>
        </w:rPr>
        <w:instrText xml:space="preserve"> </w:instrText>
      </w:r>
      <w:r>
        <w:rPr>
          <w:sz w:val="24"/>
          <w:lang/>
        </w:rPr>
        <w:instrText xml:space="preserve">HYPERLINK \l "_Toc188944293"</w:instrText>
      </w:r>
      <w:r>
        <w:rPr>
          <w:rStyle w:val="19"/>
          <w:sz w:val="24"/>
          <w:lang/>
        </w:rPr>
        <w:instrText xml:space="preserve"> </w:instrText>
      </w:r>
      <w:r>
        <w:rPr>
          <w:rStyle w:val="19"/>
          <w:sz w:val="24"/>
          <w:lang/>
        </w:rPr>
        <w:fldChar w:fldCharType="separate"/>
      </w:r>
      <w:r>
        <w:rPr>
          <w:rStyle w:val="19"/>
          <w:sz w:val="24"/>
          <w:lang/>
        </w:rPr>
        <w:t xml:space="preserve">1. </w:t>
      </w:r>
      <w:r>
        <w:rPr>
          <w:rStyle w:val="19"/>
          <w:rFonts w:hint="eastAsia"/>
          <w:sz w:val="24"/>
          <w:lang/>
        </w:rPr>
        <w:t>前言</w:t>
      </w:r>
      <w:r>
        <w:rPr>
          <w:sz w:val="24"/>
          <w:lang/>
        </w:rPr>
        <w:tab/>
      </w:r>
      <w:r>
        <w:rPr>
          <w:sz w:val="24"/>
          <w:lang/>
        </w:rPr>
        <w:fldChar w:fldCharType="begin"/>
      </w:r>
      <w:r>
        <w:rPr>
          <w:sz w:val="24"/>
          <w:lang/>
        </w:rPr>
        <w:instrText xml:space="preserve"> PAGEREF _Toc188944293 \h </w:instrText>
      </w:r>
      <w:r>
        <w:rPr>
          <w:sz w:val="24"/>
          <w:lang/>
        </w:rPr>
        <w:fldChar w:fldCharType="separate"/>
      </w:r>
      <w:r>
        <w:rPr>
          <w:sz w:val="24"/>
          <w:lang/>
        </w:rPr>
        <w:t>3</w:t>
      </w:r>
      <w:r>
        <w:rPr>
          <w:sz w:val="24"/>
          <w:lang/>
        </w:rPr>
        <w:fldChar w:fldCharType="end"/>
      </w:r>
      <w:r>
        <w:rPr>
          <w:rStyle w:val="19"/>
          <w:sz w:val="24"/>
          <w:lang/>
        </w:rPr>
        <w:fldChar w:fldCharType="end"/>
      </w:r>
    </w:p>
    <w:p>
      <w:pPr>
        <w:pStyle w:val="11"/>
        <w:tabs>
          <w:tab w:val="right" w:leader="dot" w:pos="8296"/>
        </w:tabs>
        <w:spacing w:line="400" w:lineRule="exact"/>
        <w:rPr>
          <w:sz w:val="24"/>
          <w:lang/>
        </w:rPr>
      </w:pPr>
      <w:r>
        <w:rPr>
          <w:rStyle w:val="19"/>
          <w:sz w:val="24"/>
          <w:lang/>
        </w:rPr>
        <w:fldChar w:fldCharType="begin"/>
      </w:r>
      <w:r>
        <w:rPr>
          <w:rStyle w:val="19"/>
          <w:sz w:val="24"/>
          <w:lang/>
        </w:rPr>
        <w:instrText xml:space="preserve"> </w:instrText>
      </w:r>
      <w:r>
        <w:rPr>
          <w:sz w:val="24"/>
          <w:lang/>
        </w:rPr>
        <w:instrText xml:space="preserve">HYPERLINK \l "_Toc188944294"</w:instrText>
      </w:r>
      <w:r>
        <w:rPr>
          <w:rStyle w:val="19"/>
          <w:sz w:val="24"/>
          <w:lang/>
        </w:rPr>
        <w:instrText xml:space="preserve"> </w:instrText>
      </w:r>
      <w:r>
        <w:rPr>
          <w:rStyle w:val="19"/>
          <w:sz w:val="24"/>
          <w:lang/>
        </w:rPr>
        <w:fldChar w:fldCharType="separate"/>
      </w:r>
      <w:r>
        <w:rPr>
          <w:rStyle w:val="19"/>
          <w:sz w:val="24"/>
          <w:lang/>
        </w:rPr>
        <w:t xml:space="preserve">2. </w:t>
      </w:r>
      <w:r>
        <w:rPr>
          <w:rStyle w:val="19"/>
          <w:rFonts w:hint="eastAsia"/>
          <w:sz w:val="24"/>
          <w:lang/>
        </w:rPr>
        <w:t>质量标准的建立</w:t>
      </w:r>
      <w:r>
        <w:rPr>
          <w:sz w:val="24"/>
          <w:lang/>
        </w:rPr>
        <w:tab/>
      </w:r>
      <w:r>
        <w:rPr>
          <w:sz w:val="24"/>
          <w:lang/>
        </w:rPr>
        <w:fldChar w:fldCharType="begin"/>
      </w:r>
      <w:r>
        <w:rPr>
          <w:sz w:val="24"/>
          <w:lang/>
        </w:rPr>
        <w:instrText xml:space="preserve"> PAGEREF _Toc188944294 \h </w:instrText>
      </w:r>
      <w:r>
        <w:rPr>
          <w:sz w:val="24"/>
          <w:lang/>
        </w:rPr>
        <w:fldChar w:fldCharType="separate"/>
      </w:r>
      <w:r>
        <w:rPr>
          <w:sz w:val="24"/>
          <w:lang/>
        </w:rPr>
        <w:t>4</w:t>
      </w:r>
      <w:r>
        <w:rPr>
          <w:sz w:val="24"/>
          <w:lang/>
        </w:rPr>
        <w:fldChar w:fldCharType="end"/>
      </w:r>
      <w:r>
        <w:rPr>
          <w:rStyle w:val="19"/>
          <w:sz w:val="24"/>
          <w:lang/>
        </w:rPr>
        <w:fldChar w:fldCharType="end"/>
      </w:r>
    </w:p>
    <w:p>
      <w:pPr>
        <w:pStyle w:val="14"/>
        <w:tabs>
          <w:tab w:val="right" w:leader="dot" w:pos="8296"/>
        </w:tabs>
        <w:spacing w:line="400" w:lineRule="exact"/>
        <w:rPr>
          <w:sz w:val="24"/>
          <w:lang/>
        </w:rPr>
      </w:pPr>
      <w:r>
        <w:rPr>
          <w:rStyle w:val="19"/>
          <w:sz w:val="24"/>
          <w:lang/>
        </w:rPr>
        <w:fldChar w:fldCharType="begin"/>
      </w:r>
      <w:r>
        <w:rPr>
          <w:rStyle w:val="19"/>
          <w:sz w:val="24"/>
          <w:lang/>
        </w:rPr>
        <w:instrText xml:space="preserve"> </w:instrText>
      </w:r>
      <w:r>
        <w:rPr>
          <w:sz w:val="24"/>
          <w:lang/>
        </w:rPr>
        <w:instrText xml:space="preserve">HYPERLINK \l "_Toc188944295"</w:instrText>
      </w:r>
      <w:r>
        <w:rPr>
          <w:rStyle w:val="19"/>
          <w:sz w:val="24"/>
          <w:lang/>
        </w:rPr>
        <w:instrText xml:space="preserve"> </w:instrText>
      </w:r>
      <w:r>
        <w:rPr>
          <w:rStyle w:val="19"/>
          <w:sz w:val="24"/>
          <w:lang/>
        </w:rPr>
        <w:fldChar w:fldCharType="separate"/>
      </w:r>
      <w:r>
        <w:rPr>
          <w:rStyle w:val="19"/>
          <w:sz w:val="24"/>
          <w:lang/>
        </w:rPr>
        <w:t xml:space="preserve">2.1 </w:t>
      </w:r>
      <w:r>
        <w:rPr>
          <w:rStyle w:val="19"/>
          <w:rFonts w:hint="eastAsia"/>
          <w:sz w:val="24"/>
          <w:lang/>
        </w:rPr>
        <w:t>有效成份降解</w:t>
      </w:r>
      <w:r>
        <w:rPr>
          <w:sz w:val="24"/>
          <w:lang/>
        </w:rPr>
        <w:tab/>
      </w:r>
      <w:r>
        <w:rPr>
          <w:sz w:val="24"/>
          <w:lang/>
        </w:rPr>
        <w:fldChar w:fldCharType="begin"/>
      </w:r>
      <w:r>
        <w:rPr>
          <w:sz w:val="24"/>
          <w:lang/>
        </w:rPr>
        <w:instrText xml:space="preserve"> PAGEREF _Toc188944295 \h </w:instrText>
      </w:r>
      <w:r>
        <w:rPr>
          <w:sz w:val="24"/>
          <w:lang/>
        </w:rPr>
        <w:fldChar w:fldCharType="separate"/>
      </w:r>
      <w:r>
        <w:rPr>
          <w:sz w:val="24"/>
          <w:lang/>
        </w:rPr>
        <w:t>4</w:t>
      </w:r>
      <w:r>
        <w:rPr>
          <w:sz w:val="24"/>
          <w:lang/>
        </w:rPr>
        <w:fldChar w:fldCharType="end"/>
      </w:r>
      <w:r>
        <w:rPr>
          <w:rStyle w:val="19"/>
          <w:sz w:val="24"/>
          <w:lang/>
        </w:rPr>
        <w:fldChar w:fldCharType="end"/>
      </w:r>
    </w:p>
    <w:p>
      <w:pPr>
        <w:pStyle w:val="14"/>
        <w:tabs>
          <w:tab w:val="right" w:leader="dot" w:pos="8296"/>
        </w:tabs>
        <w:spacing w:line="400" w:lineRule="exact"/>
        <w:rPr>
          <w:sz w:val="24"/>
          <w:lang/>
        </w:rPr>
      </w:pPr>
      <w:r>
        <w:rPr>
          <w:rStyle w:val="19"/>
          <w:sz w:val="24"/>
          <w:lang/>
        </w:rPr>
        <w:fldChar w:fldCharType="begin"/>
      </w:r>
      <w:r>
        <w:rPr>
          <w:rStyle w:val="19"/>
          <w:sz w:val="24"/>
          <w:lang/>
        </w:rPr>
        <w:instrText xml:space="preserve"> </w:instrText>
      </w:r>
      <w:r>
        <w:rPr>
          <w:sz w:val="24"/>
          <w:lang/>
        </w:rPr>
        <w:instrText xml:space="preserve">HYPERLINK \l "_Toc188944296"</w:instrText>
      </w:r>
      <w:r>
        <w:rPr>
          <w:rStyle w:val="19"/>
          <w:sz w:val="24"/>
          <w:lang/>
        </w:rPr>
        <w:instrText xml:space="preserve"> </w:instrText>
      </w:r>
      <w:r>
        <w:rPr>
          <w:rStyle w:val="19"/>
          <w:sz w:val="24"/>
          <w:lang/>
        </w:rPr>
        <w:fldChar w:fldCharType="separate"/>
      </w:r>
      <w:r>
        <w:rPr>
          <w:rStyle w:val="19"/>
          <w:sz w:val="24"/>
          <w:lang/>
        </w:rPr>
        <w:t xml:space="preserve">2.2 </w:t>
      </w:r>
      <w:r>
        <w:rPr>
          <w:rStyle w:val="19"/>
          <w:rFonts w:hint="eastAsia"/>
          <w:sz w:val="24"/>
          <w:lang/>
        </w:rPr>
        <w:t>测定法</w:t>
      </w:r>
      <w:r>
        <w:rPr>
          <w:sz w:val="24"/>
          <w:lang/>
        </w:rPr>
        <w:tab/>
      </w:r>
      <w:r>
        <w:rPr>
          <w:sz w:val="24"/>
          <w:lang/>
        </w:rPr>
        <w:fldChar w:fldCharType="begin"/>
      </w:r>
      <w:r>
        <w:rPr>
          <w:sz w:val="24"/>
          <w:lang/>
        </w:rPr>
        <w:instrText xml:space="preserve"> PAGEREF _Toc188944296 \h </w:instrText>
      </w:r>
      <w:r>
        <w:rPr>
          <w:sz w:val="24"/>
          <w:lang/>
        </w:rPr>
        <w:fldChar w:fldCharType="separate"/>
      </w:r>
      <w:r>
        <w:rPr>
          <w:sz w:val="24"/>
          <w:lang/>
        </w:rPr>
        <w:t>5</w:t>
      </w:r>
      <w:r>
        <w:rPr>
          <w:sz w:val="24"/>
          <w:lang/>
        </w:rPr>
        <w:fldChar w:fldCharType="end"/>
      </w:r>
      <w:r>
        <w:rPr>
          <w:rStyle w:val="19"/>
          <w:sz w:val="24"/>
          <w:lang/>
        </w:rPr>
        <w:fldChar w:fldCharType="end"/>
      </w:r>
    </w:p>
    <w:p>
      <w:pPr>
        <w:pStyle w:val="14"/>
        <w:tabs>
          <w:tab w:val="right" w:leader="dot" w:pos="8296"/>
        </w:tabs>
        <w:spacing w:line="400" w:lineRule="exact"/>
        <w:rPr>
          <w:sz w:val="24"/>
          <w:lang/>
        </w:rPr>
      </w:pPr>
      <w:r>
        <w:rPr>
          <w:rStyle w:val="19"/>
          <w:sz w:val="24"/>
          <w:lang/>
        </w:rPr>
        <w:fldChar w:fldCharType="begin"/>
      </w:r>
      <w:r>
        <w:rPr>
          <w:rStyle w:val="19"/>
          <w:sz w:val="24"/>
          <w:lang/>
        </w:rPr>
        <w:instrText xml:space="preserve"> </w:instrText>
      </w:r>
      <w:r>
        <w:rPr>
          <w:sz w:val="24"/>
          <w:lang/>
        </w:rPr>
        <w:instrText xml:space="preserve">HYPERLINK \l "_Toc188944297"</w:instrText>
      </w:r>
      <w:r>
        <w:rPr>
          <w:rStyle w:val="19"/>
          <w:sz w:val="24"/>
          <w:lang/>
        </w:rPr>
        <w:instrText xml:space="preserve"> </w:instrText>
      </w:r>
      <w:r>
        <w:rPr>
          <w:rStyle w:val="19"/>
          <w:sz w:val="24"/>
          <w:lang/>
        </w:rPr>
        <w:fldChar w:fldCharType="separate"/>
      </w:r>
      <w:r>
        <w:rPr>
          <w:rStyle w:val="19"/>
          <w:sz w:val="24"/>
          <w:lang/>
        </w:rPr>
        <w:t xml:space="preserve">2.3 </w:t>
      </w:r>
      <w:r>
        <w:rPr>
          <w:rStyle w:val="19"/>
          <w:rFonts w:hint="eastAsia"/>
          <w:sz w:val="24"/>
          <w:lang/>
        </w:rPr>
        <w:t>微生物学纯度</w:t>
      </w:r>
      <w:r>
        <w:rPr>
          <w:sz w:val="24"/>
          <w:lang/>
        </w:rPr>
        <w:tab/>
      </w:r>
      <w:r>
        <w:rPr>
          <w:sz w:val="24"/>
          <w:lang/>
        </w:rPr>
        <w:fldChar w:fldCharType="begin"/>
      </w:r>
      <w:r>
        <w:rPr>
          <w:sz w:val="24"/>
          <w:lang/>
        </w:rPr>
        <w:instrText xml:space="preserve"> PAGEREF _Toc188944297 \h </w:instrText>
      </w:r>
      <w:r>
        <w:rPr>
          <w:sz w:val="24"/>
          <w:lang/>
        </w:rPr>
        <w:fldChar w:fldCharType="separate"/>
      </w:r>
      <w:r>
        <w:rPr>
          <w:sz w:val="24"/>
          <w:lang/>
        </w:rPr>
        <w:t>6</w:t>
      </w:r>
      <w:r>
        <w:rPr>
          <w:sz w:val="24"/>
          <w:lang/>
        </w:rPr>
        <w:fldChar w:fldCharType="end"/>
      </w:r>
      <w:r>
        <w:rPr>
          <w:rStyle w:val="19"/>
          <w:sz w:val="24"/>
          <w:lang/>
        </w:rPr>
        <w:fldChar w:fldCharType="end"/>
      </w:r>
    </w:p>
    <w:p>
      <w:pPr>
        <w:pStyle w:val="14"/>
        <w:tabs>
          <w:tab w:val="right" w:leader="dot" w:pos="8296"/>
        </w:tabs>
        <w:spacing w:line="400" w:lineRule="exact"/>
        <w:rPr>
          <w:sz w:val="24"/>
          <w:lang/>
        </w:rPr>
      </w:pPr>
      <w:r>
        <w:rPr>
          <w:rStyle w:val="19"/>
          <w:sz w:val="24"/>
          <w:lang/>
        </w:rPr>
        <w:fldChar w:fldCharType="begin"/>
      </w:r>
      <w:r>
        <w:rPr>
          <w:rStyle w:val="19"/>
          <w:sz w:val="24"/>
          <w:lang/>
        </w:rPr>
        <w:instrText xml:space="preserve"> </w:instrText>
      </w:r>
      <w:r>
        <w:rPr>
          <w:sz w:val="24"/>
          <w:lang/>
        </w:rPr>
        <w:instrText xml:space="preserve">HYPERLINK \l "_Toc188944298"</w:instrText>
      </w:r>
      <w:r>
        <w:rPr>
          <w:rStyle w:val="19"/>
          <w:sz w:val="24"/>
          <w:lang/>
        </w:rPr>
        <w:instrText xml:space="preserve"> </w:instrText>
      </w:r>
      <w:r>
        <w:rPr>
          <w:rStyle w:val="19"/>
          <w:sz w:val="24"/>
          <w:lang/>
        </w:rPr>
        <w:fldChar w:fldCharType="separate"/>
      </w:r>
      <w:r>
        <w:rPr>
          <w:rStyle w:val="19"/>
          <w:sz w:val="24"/>
          <w:lang/>
        </w:rPr>
        <w:t xml:space="preserve">2.4 </w:t>
      </w:r>
      <w:r>
        <w:rPr>
          <w:rStyle w:val="19"/>
          <w:rFonts w:hint="eastAsia"/>
          <w:sz w:val="24"/>
          <w:lang/>
        </w:rPr>
        <w:t>喷雾的含量均匀度和给药剂量的均一性</w:t>
      </w:r>
      <w:r>
        <w:rPr>
          <w:sz w:val="24"/>
          <w:lang/>
        </w:rPr>
        <w:tab/>
      </w:r>
      <w:r>
        <w:rPr>
          <w:sz w:val="24"/>
          <w:lang/>
        </w:rPr>
        <w:fldChar w:fldCharType="begin"/>
      </w:r>
      <w:r>
        <w:rPr>
          <w:sz w:val="24"/>
          <w:lang/>
        </w:rPr>
        <w:instrText xml:space="preserve"> PAGEREF _Toc188944298 \h </w:instrText>
      </w:r>
      <w:r>
        <w:rPr>
          <w:sz w:val="24"/>
          <w:lang/>
        </w:rPr>
        <w:fldChar w:fldCharType="separate"/>
      </w:r>
      <w:r>
        <w:rPr>
          <w:sz w:val="24"/>
          <w:lang/>
        </w:rPr>
        <w:t>6</w:t>
      </w:r>
      <w:r>
        <w:rPr>
          <w:sz w:val="24"/>
          <w:lang/>
        </w:rPr>
        <w:fldChar w:fldCharType="end"/>
      </w:r>
      <w:r>
        <w:rPr>
          <w:rStyle w:val="19"/>
          <w:sz w:val="24"/>
          <w:lang/>
        </w:rPr>
        <w:fldChar w:fldCharType="end"/>
      </w:r>
    </w:p>
    <w:p>
      <w:pPr>
        <w:pStyle w:val="14"/>
        <w:tabs>
          <w:tab w:val="right" w:leader="dot" w:pos="8296"/>
        </w:tabs>
        <w:spacing w:line="400" w:lineRule="exact"/>
        <w:rPr>
          <w:sz w:val="24"/>
          <w:lang/>
        </w:rPr>
      </w:pPr>
      <w:r>
        <w:rPr>
          <w:rStyle w:val="19"/>
          <w:sz w:val="24"/>
          <w:lang/>
        </w:rPr>
        <w:fldChar w:fldCharType="begin"/>
      </w:r>
      <w:r>
        <w:rPr>
          <w:rStyle w:val="19"/>
          <w:sz w:val="24"/>
          <w:lang/>
        </w:rPr>
        <w:instrText xml:space="preserve"> </w:instrText>
      </w:r>
      <w:r>
        <w:rPr>
          <w:sz w:val="24"/>
          <w:lang/>
        </w:rPr>
        <w:instrText xml:space="preserve">HYPERLINK \l "_Toc188944299"</w:instrText>
      </w:r>
      <w:r>
        <w:rPr>
          <w:rStyle w:val="19"/>
          <w:sz w:val="24"/>
          <w:lang/>
        </w:rPr>
        <w:instrText xml:space="preserve"> </w:instrText>
      </w:r>
      <w:r>
        <w:rPr>
          <w:rStyle w:val="19"/>
          <w:sz w:val="24"/>
          <w:lang/>
        </w:rPr>
        <w:fldChar w:fldCharType="separate"/>
      </w:r>
      <w:r>
        <w:rPr>
          <w:rStyle w:val="19"/>
          <w:sz w:val="24"/>
          <w:lang/>
        </w:rPr>
        <w:t xml:space="preserve">2.5 </w:t>
      </w:r>
      <w:r>
        <w:rPr>
          <w:rStyle w:val="19"/>
          <w:rFonts w:hint="eastAsia"/>
          <w:sz w:val="24"/>
          <w:lang/>
        </w:rPr>
        <w:t>空气动力学微小粒子剂量</w:t>
      </w:r>
      <w:r>
        <w:rPr>
          <w:sz w:val="24"/>
          <w:lang/>
        </w:rPr>
        <w:tab/>
      </w:r>
      <w:r>
        <w:rPr>
          <w:sz w:val="24"/>
          <w:lang/>
        </w:rPr>
        <w:fldChar w:fldCharType="begin"/>
      </w:r>
      <w:r>
        <w:rPr>
          <w:sz w:val="24"/>
          <w:lang/>
        </w:rPr>
        <w:instrText xml:space="preserve"> PAGEREF _Toc188944299 \h </w:instrText>
      </w:r>
      <w:r>
        <w:rPr>
          <w:sz w:val="24"/>
          <w:lang/>
        </w:rPr>
        <w:fldChar w:fldCharType="separate"/>
      </w:r>
      <w:r>
        <w:rPr>
          <w:sz w:val="24"/>
          <w:lang/>
        </w:rPr>
        <w:t>6</w:t>
      </w:r>
      <w:r>
        <w:rPr>
          <w:sz w:val="24"/>
          <w:lang/>
        </w:rPr>
        <w:fldChar w:fldCharType="end"/>
      </w:r>
      <w:r>
        <w:rPr>
          <w:rStyle w:val="19"/>
          <w:sz w:val="24"/>
          <w:lang/>
        </w:rPr>
        <w:fldChar w:fldCharType="end"/>
      </w:r>
    </w:p>
    <w:p>
      <w:pPr>
        <w:pStyle w:val="2"/>
        <w:spacing w:before="0" w:after="0" w:line="400" w:lineRule="exact"/>
        <w:rPr>
          <w:rFonts w:hint="eastAsia"/>
          <w:sz w:val="24"/>
        </w:rPr>
      </w:pPr>
      <w:r>
        <w:rPr>
          <w:b w:val="0"/>
          <w:bCs w:val="0"/>
          <w:kern w:val="2"/>
          <w:sz w:val="24"/>
          <w:szCs w:val="24"/>
        </w:rPr>
        <w:fldChar w:fldCharType="end"/>
      </w:r>
      <w:r>
        <w:rPr>
          <w:sz w:val="24"/>
        </w:rPr>
        <w:br w:type="page"/>
      </w:r>
      <w:bookmarkStart w:id="2" w:name="_Toc188944293"/>
      <w:r>
        <w:rPr>
          <w:rFonts w:hint="eastAsia"/>
          <w:sz w:val="24"/>
        </w:rPr>
        <w:t>1. 前言</w:t>
      </w:r>
      <w:bookmarkEnd w:id="2"/>
    </w:p>
    <w:p>
      <w:pPr>
        <w:spacing w:before="156" w:beforeLines="50" w:after="156" w:afterLines="50" w:line="400" w:lineRule="exact"/>
        <w:ind w:firstLine="480"/>
        <w:rPr>
          <w:rFonts w:hint="eastAsia"/>
          <w:sz w:val="24"/>
        </w:rPr>
      </w:pPr>
      <w:r>
        <w:rPr>
          <w:rFonts w:hint="eastAsia"/>
          <w:sz w:val="24"/>
        </w:rPr>
        <w:t>下述报告讨论了BEA 2180 BR Respimat</w:t>
      </w:r>
      <w:r>
        <w:rPr>
          <w:sz w:val="24"/>
          <w:vertAlign w:val="superscript"/>
        </w:rPr>
        <w:t>®</w:t>
      </w:r>
      <w:r>
        <w:rPr>
          <w:rFonts w:hint="eastAsia"/>
          <w:sz w:val="24"/>
        </w:rPr>
        <w:t>吸入液的质量标准的选择及合格标准。报告集中讨论了可能影响药品疗效和安全性的检查项目：</w:t>
      </w:r>
    </w:p>
    <w:p>
      <w:pPr>
        <w:spacing w:before="156" w:beforeLines="50" w:after="156" w:afterLines="50" w:line="400" w:lineRule="exact"/>
        <w:ind w:firstLine="480"/>
        <w:rPr>
          <w:rFonts w:hint="eastAsia"/>
          <w:sz w:val="24"/>
        </w:rPr>
      </w:pPr>
      <w:r>
        <w:rPr>
          <w:rFonts w:hint="eastAsia"/>
          <w:sz w:val="24"/>
        </w:rPr>
        <w:t>－有效成份降解</w:t>
      </w:r>
    </w:p>
    <w:p>
      <w:pPr>
        <w:spacing w:before="156" w:beforeLines="50" w:after="156" w:afterLines="50" w:line="400" w:lineRule="exact"/>
        <w:ind w:firstLine="480"/>
        <w:rPr>
          <w:rFonts w:hint="eastAsia"/>
          <w:sz w:val="24"/>
        </w:rPr>
      </w:pPr>
      <w:r>
        <w:rPr>
          <w:rFonts w:hint="eastAsia"/>
          <w:sz w:val="24"/>
        </w:rPr>
        <w:t>－有效成份的测定</w:t>
      </w:r>
    </w:p>
    <w:p>
      <w:pPr>
        <w:spacing w:before="156" w:beforeLines="50" w:after="156" w:afterLines="50" w:line="400" w:lineRule="exact"/>
        <w:ind w:firstLine="480"/>
        <w:rPr>
          <w:rFonts w:hint="eastAsia"/>
          <w:sz w:val="24"/>
        </w:rPr>
      </w:pPr>
      <w:r>
        <w:rPr>
          <w:rFonts w:hint="eastAsia"/>
          <w:sz w:val="24"/>
        </w:rPr>
        <w:t>－微生物学纯度</w:t>
      </w:r>
    </w:p>
    <w:p>
      <w:pPr>
        <w:spacing w:before="156" w:beforeLines="50" w:after="156" w:afterLines="50" w:line="400" w:lineRule="exact"/>
        <w:ind w:firstLine="480"/>
        <w:rPr>
          <w:rFonts w:hint="eastAsia"/>
          <w:sz w:val="24"/>
        </w:rPr>
      </w:pPr>
      <w:r>
        <w:rPr>
          <w:rFonts w:hint="eastAsia"/>
          <w:sz w:val="24"/>
        </w:rPr>
        <w:t>－喷雾的含量均匀度（在不同吸入器间进行测定）</w:t>
      </w:r>
    </w:p>
    <w:p>
      <w:pPr>
        <w:spacing w:before="156" w:beforeLines="50" w:after="156" w:afterLines="50" w:line="400" w:lineRule="exact"/>
        <w:ind w:firstLine="480"/>
        <w:rPr>
          <w:rFonts w:hint="eastAsia"/>
          <w:sz w:val="24"/>
        </w:rPr>
      </w:pPr>
      <w:r>
        <w:rPr>
          <w:rFonts w:hint="eastAsia"/>
          <w:sz w:val="24"/>
        </w:rPr>
        <w:t>－给药剂量的均一性（用同一吸入器进行测定）</w:t>
      </w:r>
    </w:p>
    <w:p>
      <w:pPr>
        <w:spacing w:before="156" w:beforeLines="50" w:after="156" w:afterLines="50" w:line="400" w:lineRule="exact"/>
        <w:ind w:firstLine="480"/>
        <w:rPr>
          <w:rFonts w:hint="eastAsia"/>
          <w:sz w:val="24"/>
        </w:rPr>
      </w:pPr>
      <w:r>
        <w:rPr>
          <w:rFonts w:hint="eastAsia"/>
          <w:sz w:val="24"/>
        </w:rPr>
        <w:t>－空气动力学微小粒子剂量（用ACI或通过激光衍射法进行测定）</w:t>
      </w:r>
    </w:p>
    <w:p>
      <w:pPr>
        <w:spacing w:before="156" w:beforeLines="50" w:after="156" w:afterLines="50" w:line="400" w:lineRule="exact"/>
        <w:ind w:firstLine="480"/>
        <w:rPr>
          <w:rFonts w:hint="eastAsia" w:ascii="TimesNewRoman" w:hAnsi="TimesNewRoman"/>
          <w:sz w:val="24"/>
        </w:rPr>
      </w:pPr>
      <w:r>
        <w:rPr>
          <w:rFonts w:hint="eastAsia"/>
          <w:sz w:val="24"/>
        </w:rPr>
        <w:t>列表总结了BEA 2180 BR Respimat</w:t>
      </w:r>
      <w:r>
        <w:rPr>
          <w:sz w:val="24"/>
          <w:vertAlign w:val="superscript"/>
        </w:rPr>
        <w:t>®</w:t>
      </w:r>
      <w:r>
        <w:rPr>
          <w:rFonts w:hint="eastAsia"/>
          <w:sz w:val="24"/>
        </w:rPr>
        <w:t>吸入液的所有质量标准，请参见</w:t>
      </w:r>
      <w:r>
        <w:rPr>
          <w:rFonts w:ascii="TimesNewRoman" w:hAnsi="TimesNewRoman"/>
          <w:sz w:val="24"/>
        </w:rPr>
        <w:t>P.5.1</w:t>
      </w:r>
      <w:r>
        <w:rPr>
          <w:rFonts w:hint="eastAsia" w:ascii="TimesNewRoman" w:hAnsi="TimesNewRoman"/>
          <w:sz w:val="24"/>
        </w:rPr>
        <w:t>节“药品</w:t>
      </w:r>
      <w:r>
        <w:rPr>
          <w:rFonts w:hint="eastAsia"/>
          <w:sz w:val="24"/>
        </w:rPr>
        <w:t>BEA 2180 BR Respimat</w:t>
      </w:r>
      <w:r>
        <w:rPr>
          <w:sz w:val="24"/>
          <w:vertAlign w:val="superscript"/>
        </w:rPr>
        <w:t>®</w:t>
      </w:r>
      <w:r>
        <w:rPr>
          <w:rFonts w:hint="eastAsia"/>
          <w:sz w:val="24"/>
        </w:rPr>
        <w:t>吸入液的质量标准</w:t>
      </w:r>
      <w:r>
        <w:rPr>
          <w:rFonts w:hint="eastAsia" w:ascii="TimesNewRoman" w:hAnsi="TimesNewRoman"/>
          <w:sz w:val="24"/>
        </w:rPr>
        <w:t>”。</w:t>
      </w:r>
    </w:p>
    <w:p>
      <w:pPr>
        <w:spacing w:before="156" w:beforeLines="50" w:after="156" w:afterLines="50" w:line="400" w:lineRule="exact"/>
        <w:ind w:firstLine="480"/>
        <w:rPr>
          <w:rFonts w:hint="eastAsia" w:ascii="TimesNewRoman" w:hAnsi="TimesNewRoman"/>
          <w:sz w:val="24"/>
        </w:rPr>
      </w:pPr>
      <w:r>
        <w:rPr>
          <w:rFonts w:hint="eastAsia" w:ascii="TimesNewRoman" w:hAnsi="TimesNewRoman"/>
          <w:sz w:val="24"/>
        </w:rPr>
        <w:t>检查项目和质量标准符合ICH Q6A指导原则和EMEA指导原则中吸入剂和滴鼻剂药学质量中适用原则的规定。</w:t>
      </w:r>
    </w:p>
    <w:p>
      <w:pPr>
        <w:spacing w:before="156" w:beforeLines="50" w:after="156" w:afterLines="50" w:line="400" w:lineRule="exact"/>
        <w:ind w:firstLine="480"/>
        <w:rPr>
          <w:rFonts w:ascii="TimesNewRoman" w:hAnsi="TimesNewRoman"/>
          <w:sz w:val="24"/>
        </w:rPr>
      </w:pPr>
      <w:r>
        <w:rPr>
          <w:rFonts w:hint="eastAsia" w:ascii="TimesNewRoman" w:hAnsi="TimesNewRoman"/>
          <w:sz w:val="24"/>
        </w:rPr>
        <w:t>根据国际要求，及临床前和临床用药品批次的放行、长期和加速稳定性实验结果，建立质量标准。质量标准反映了制备和分析能力。</w:t>
      </w:r>
    </w:p>
    <w:p>
      <w:pPr>
        <w:pStyle w:val="2"/>
        <w:spacing w:before="120" w:after="120" w:line="400" w:lineRule="exact"/>
        <w:rPr>
          <w:rFonts w:hint="eastAsia"/>
          <w:sz w:val="24"/>
        </w:rPr>
      </w:pPr>
      <w:r>
        <w:rPr>
          <w:rFonts w:ascii="TimesNewRoman" w:hAnsi="TimesNewRoman"/>
          <w:sz w:val="24"/>
        </w:rPr>
        <w:br w:type="page"/>
      </w:r>
      <w:bookmarkStart w:id="3" w:name="_Toc188944294"/>
      <w:r>
        <w:rPr>
          <w:rFonts w:hint="eastAsia"/>
          <w:sz w:val="24"/>
        </w:rPr>
        <w:t>2. 质量标准的建立</w:t>
      </w:r>
      <w:bookmarkEnd w:id="3"/>
    </w:p>
    <w:p>
      <w:pPr>
        <w:pStyle w:val="3"/>
        <w:spacing w:before="120" w:after="120" w:line="400" w:lineRule="exact"/>
        <w:rPr>
          <w:rFonts w:hint="eastAsia" w:ascii="Times New Roman" w:hAnsi="Times New Roman" w:eastAsia="宋体"/>
          <w:sz w:val="24"/>
        </w:rPr>
      </w:pPr>
      <w:bookmarkStart w:id="4" w:name="_Toc188944295"/>
      <w:r>
        <w:rPr>
          <w:rFonts w:hint="eastAsia" w:ascii="Times New Roman" w:hAnsi="Times New Roman" w:eastAsia="宋体"/>
          <w:sz w:val="24"/>
        </w:rPr>
        <w:t>2.1 有效成份降解</w:t>
      </w:r>
      <w:bookmarkEnd w:id="4"/>
    </w:p>
    <w:p>
      <w:pPr>
        <w:spacing w:before="156" w:beforeLines="50" w:after="156" w:afterLines="50" w:line="400" w:lineRule="exact"/>
        <w:ind w:firstLine="480"/>
        <w:rPr>
          <w:rFonts w:hint="eastAsia" w:ascii="TimesNewRoman" w:hAnsi="TimesNewRoman"/>
          <w:sz w:val="24"/>
        </w:rPr>
      </w:pPr>
      <w:r>
        <w:rPr>
          <w:rFonts w:hint="eastAsia" w:ascii="TimesNewRoman" w:hAnsi="TimesNewRoman"/>
          <w:sz w:val="24"/>
        </w:rPr>
        <w:t>BEA 2180 BR的可能降解途径见图1。</w:t>
      </w:r>
    </w:p>
    <w:p>
      <w:pPr>
        <w:spacing w:before="156" w:beforeLines="50" w:after="156" w:afterLines="50"/>
        <w:rPr>
          <w:rFonts w:hint="eastAsia" w:ascii="TimesNewRoman" w:hAnsi="TimesNewRoman"/>
          <w:sz w:val="24"/>
        </w:rPr>
      </w:pPr>
      <w:r>
        <w:rPr>
          <w:rFonts w:hint="eastAsia" w:ascii="TimesNewRoman" w:hAnsi="TimesNewRoman"/>
          <w:sz w:val="24"/>
        </w:rPr>
        <w:drawing>
          <wp:inline distT="0" distB="0" distL="114300" distR="114300">
            <wp:extent cx="5271135" cy="4269105"/>
            <wp:effectExtent l="0" t="0" r="571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5271135" cy="4269105"/>
                    </a:xfrm>
                    <a:prstGeom prst="rect">
                      <a:avLst/>
                    </a:prstGeom>
                    <a:noFill/>
                    <a:ln w="9525">
                      <a:noFill/>
                    </a:ln>
                  </pic:spPr>
                </pic:pic>
              </a:graphicData>
            </a:graphic>
          </wp:inline>
        </w:drawing>
      </w:r>
    </w:p>
    <w:p>
      <w:pPr>
        <w:spacing w:before="156" w:beforeLines="50" w:after="156" w:afterLines="50" w:line="400" w:lineRule="exact"/>
        <w:ind w:firstLine="480"/>
        <w:rPr>
          <w:rFonts w:hint="eastAsia" w:ascii="TimesNewRoman" w:hAnsi="TimesNewRoman"/>
          <w:sz w:val="24"/>
        </w:rPr>
      </w:pPr>
      <w:r>
        <w:rPr>
          <w:rFonts w:hint="eastAsia"/>
          <w:sz w:val="24"/>
        </w:rPr>
        <w:t>图1：</w:t>
      </w:r>
      <w:r>
        <w:rPr>
          <w:rFonts w:hint="eastAsia" w:ascii="TimesNewRoman" w:hAnsi="TimesNewRoman"/>
          <w:sz w:val="24"/>
        </w:rPr>
        <w:t>BEA 2180 BR水溶液的可能降解途径</w:t>
      </w:r>
    </w:p>
    <w:p>
      <w:pPr>
        <w:spacing w:before="156" w:beforeLines="50" w:after="156" w:afterLines="50" w:line="400" w:lineRule="exact"/>
        <w:ind w:firstLine="480"/>
        <w:rPr>
          <w:rFonts w:ascii="TimesNewRoman" w:hAnsi="TimesNewRoman"/>
          <w:sz w:val="24"/>
        </w:rPr>
      </w:pPr>
      <w:r>
        <w:rPr>
          <w:rFonts w:hint="eastAsia" w:ascii="TimesNewRoman" w:hAnsi="TimesNewRoman"/>
          <w:sz w:val="24"/>
        </w:rPr>
        <w:t>BEA 2180 BR水溶液的降解途径是酯水解，形成</w:t>
      </w:r>
      <w:r>
        <w:rPr>
          <w:rFonts w:ascii="TimesNewRoman" w:hAnsi="TimesNewRoman"/>
          <w:sz w:val="24"/>
        </w:rPr>
        <w:t>CDBG 258 SE</w:t>
      </w:r>
      <w:r>
        <w:rPr>
          <w:rFonts w:hint="eastAsia" w:ascii="TimesNewRoman" w:hAnsi="TimesNewRoman"/>
          <w:sz w:val="24"/>
        </w:rPr>
        <w:t>（</w:t>
      </w:r>
      <w:r>
        <w:rPr>
          <w:rFonts w:ascii="TimesNewRoman" w:hAnsi="TimesNewRoman"/>
          <w:sz w:val="24"/>
        </w:rPr>
        <w:t>2,2-</w:t>
      </w:r>
      <w:r>
        <w:rPr>
          <w:rFonts w:hint="eastAsia" w:ascii="TimesNewRoman" w:hAnsi="TimesNewRoman"/>
          <w:sz w:val="24"/>
        </w:rPr>
        <w:t>二苯基丙酸）和相应的醇</w:t>
      </w:r>
      <w:r>
        <w:rPr>
          <w:rFonts w:ascii="TimesNewRoman" w:hAnsi="TimesNewRoman"/>
          <w:sz w:val="24"/>
        </w:rPr>
        <w:t>BA 338 BR</w:t>
      </w:r>
      <w:r>
        <w:rPr>
          <w:rFonts w:hint="eastAsia" w:ascii="TimesNewRoman" w:hAnsi="TimesNewRoman"/>
          <w:sz w:val="24"/>
        </w:rPr>
        <w:t>。</w:t>
      </w:r>
      <w:r>
        <w:rPr>
          <w:rFonts w:ascii="TimesNewRoman" w:hAnsi="TimesNewRoman"/>
          <w:sz w:val="24"/>
        </w:rPr>
        <w:t>BA 338 BR</w:t>
      </w:r>
      <w:r>
        <w:rPr>
          <w:rFonts w:hint="eastAsia" w:ascii="TimesNewRoman" w:hAnsi="TimesNewRoman"/>
          <w:sz w:val="24"/>
        </w:rPr>
        <w:t>少量异构化，形成异构体</w:t>
      </w:r>
      <w:r>
        <w:rPr>
          <w:rFonts w:ascii="TimesNewRoman" w:hAnsi="TimesNewRoman"/>
          <w:sz w:val="24"/>
        </w:rPr>
        <w:t>SCH 731 BR</w:t>
      </w:r>
      <w:r>
        <w:rPr>
          <w:rFonts w:hint="eastAsia" w:ascii="TimesNewRoman" w:hAnsi="TimesNewRoman"/>
          <w:sz w:val="24"/>
        </w:rPr>
        <w:t>。</w:t>
      </w:r>
    </w:p>
    <w:p>
      <w:pPr>
        <w:spacing w:before="156" w:beforeLines="50" w:after="156" w:afterLines="50" w:line="400" w:lineRule="exact"/>
        <w:rPr>
          <w:rFonts w:hint="eastAsia" w:ascii="TimesNewRoman" w:hAnsi="TimesNewRoman"/>
          <w:sz w:val="24"/>
          <w:u w:val="single"/>
        </w:rPr>
      </w:pPr>
      <w:r>
        <w:rPr>
          <w:rFonts w:ascii="TimesNewRoman" w:hAnsi="TimesNewRoman"/>
          <w:sz w:val="24"/>
        </w:rPr>
        <w:br w:type="page"/>
      </w:r>
      <w:r>
        <w:rPr>
          <w:rFonts w:ascii="TimesNewRoman" w:hAnsi="TimesNewRoman"/>
          <w:sz w:val="24"/>
          <w:u w:val="single"/>
        </w:rPr>
        <w:t>CDBG 258 SE</w:t>
      </w:r>
      <w:r>
        <w:rPr>
          <w:rFonts w:hint="eastAsia" w:ascii="TimesNewRoman" w:hAnsi="TimesNewRoman"/>
          <w:sz w:val="24"/>
          <w:u w:val="single"/>
        </w:rPr>
        <w:t>，</w:t>
      </w:r>
      <w:r>
        <w:rPr>
          <w:rFonts w:ascii="TimesNewRoman" w:hAnsi="TimesNewRoman"/>
          <w:sz w:val="24"/>
          <w:u w:val="single"/>
        </w:rPr>
        <w:t>BA 338 BR</w:t>
      </w:r>
      <w:r>
        <w:rPr>
          <w:rFonts w:hint="eastAsia" w:ascii="TimesNewRoman" w:hAnsi="TimesNewRoman"/>
          <w:sz w:val="24"/>
          <w:u w:val="single"/>
        </w:rPr>
        <w:t>和</w:t>
      </w:r>
      <w:r>
        <w:rPr>
          <w:rFonts w:ascii="TimesNewRoman" w:hAnsi="TimesNewRoman"/>
          <w:sz w:val="24"/>
          <w:u w:val="single"/>
        </w:rPr>
        <w:t>SCH 731 BR</w:t>
      </w:r>
    </w:p>
    <w:p>
      <w:pPr>
        <w:spacing w:before="156" w:beforeLines="50" w:line="400" w:lineRule="exact"/>
        <w:ind w:firstLine="482"/>
        <w:rPr>
          <w:rFonts w:hint="eastAsia" w:ascii="TimesNewRoman" w:hAnsi="TimesNewRoman"/>
          <w:sz w:val="24"/>
        </w:rPr>
      </w:pPr>
      <w:r>
        <w:rPr>
          <w:rFonts w:hint="eastAsia" w:ascii="TimesNewRoman" w:hAnsi="TimesNewRoman"/>
          <w:sz w:val="24"/>
        </w:rPr>
        <w:t>按照ICH指导原则</w:t>
      </w:r>
      <w:r>
        <w:rPr>
          <w:rFonts w:ascii="TimesNewRoman" w:hAnsi="TimesNewRoman"/>
          <w:sz w:val="24"/>
        </w:rPr>
        <w:t>Q3B(R)</w:t>
      </w:r>
      <w:r>
        <w:rPr>
          <w:rFonts w:hint="eastAsia" w:ascii="TimesNewRoman" w:hAnsi="TimesNewRoman"/>
          <w:sz w:val="24"/>
        </w:rPr>
        <w:t>的合格阈值，降解产物</w:t>
      </w:r>
      <w:r>
        <w:rPr>
          <w:rFonts w:ascii="TimesNewRoman" w:hAnsi="TimesNewRoman"/>
          <w:sz w:val="24"/>
        </w:rPr>
        <w:t>CDBG 258 SE</w:t>
      </w:r>
      <w:r>
        <w:rPr>
          <w:rFonts w:hint="eastAsia" w:ascii="TimesNewRoman" w:hAnsi="TimesNewRoman"/>
          <w:sz w:val="24"/>
        </w:rPr>
        <w:t>，</w:t>
      </w:r>
      <w:r>
        <w:rPr>
          <w:rFonts w:ascii="TimesNewRoman" w:hAnsi="TimesNewRoman"/>
          <w:sz w:val="24"/>
        </w:rPr>
        <w:t>BA 338 BR</w:t>
      </w:r>
      <w:r>
        <w:rPr>
          <w:rFonts w:hint="eastAsia" w:ascii="TimesNewRoman" w:hAnsi="TimesNewRoman"/>
          <w:sz w:val="24"/>
        </w:rPr>
        <w:t>和</w:t>
      </w:r>
      <w:r>
        <w:rPr>
          <w:rFonts w:ascii="TimesNewRoman" w:hAnsi="TimesNewRoman"/>
          <w:sz w:val="24"/>
        </w:rPr>
        <w:t>SCH 731 BR</w:t>
      </w:r>
      <w:r>
        <w:rPr>
          <w:rFonts w:hint="eastAsia" w:ascii="TimesNewRoman" w:hAnsi="TimesNewRoman"/>
          <w:sz w:val="24"/>
        </w:rPr>
        <w:t>的贮存期限标准定为</w:t>
      </w:r>
      <w:r>
        <w:rPr>
          <w:rFonts w:ascii="TimesNewRoman" w:hAnsi="TimesNewRoman"/>
          <w:sz w:val="24"/>
        </w:rPr>
        <w:t>1.00 % (w/w)</w:t>
      </w:r>
      <w:r>
        <w:rPr>
          <w:rFonts w:hint="eastAsia" w:ascii="TimesNewRoman" w:hAnsi="TimesNewRoman"/>
          <w:sz w:val="24"/>
        </w:rPr>
        <w:t>。IIB期临床试验中使用的最大日剂量是</w:t>
      </w:r>
      <w:r>
        <w:rPr>
          <w:rFonts w:ascii="TimesNewRoman" w:hAnsi="TimesNewRoman"/>
          <w:sz w:val="24"/>
        </w:rPr>
        <w:t>200 µg</w:t>
      </w:r>
      <w:r>
        <w:rPr>
          <w:rFonts w:hint="eastAsia" w:ascii="TimesNewRoman" w:hAnsi="TimesNewRoman"/>
          <w:sz w:val="24"/>
        </w:rPr>
        <w:t>，因此合格阈值为</w:t>
      </w:r>
      <w:r>
        <w:rPr>
          <w:rFonts w:ascii="TimesNewRoman" w:hAnsi="TimesNewRoman"/>
          <w:sz w:val="24"/>
        </w:rPr>
        <w:t>1.0 %</w:t>
      </w:r>
      <w:r>
        <w:rPr>
          <w:rFonts w:hint="eastAsia" w:ascii="TimesNewRoman" w:hAnsi="TimesNewRoman"/>
          <w:sz w:val="24"/>
        </w:rPr>
        <w:t>。</w:t>
      </w:r>
    </w:p>
    <w:p>
      <w:pPr>
        <w:spacing w:after="156" w:afterLines="50" w:line="400" w:lineRule="exact"/>
        <w:ind w:firstLine="482"/>
        <w:rPr>
          <w:rFonts w:hint="eastAsia" w:ascii="TimesNewRoman" w:hAnsi="TimesNewRoman"/>
          <w:sz w:val="24"/>
        </w:rPr>
      </w:pPr>
      <w:r>
        <w:rPr>
          <w:rFonts w:hint="eastAsia" w:ascii="TimesNewRoman" w:hAnsi="TimesNewRoman"/>
          <w:sz w:val="24"/>
        </w:rPr>
        <w:t>放行标准的耐受限度【</w:t>
      </w:r>
      <w:r>
        <w:rPr>
          <w:rFonts w:ascii="TimesNewRoman" w:hAnsi="TimesNewRoman"/>
          <w:sz w:val="24"/>
        </w:rPr>
        <w:t>CDBG 258 SE</w:t>
      </w:r>
      <w:r>
        <w:rPr>
          <w:rFonts w:hint="eastAsia" w:ascii="TimesNewRoman" w:hAnsi="TimesNewRoman"/>
          <w:sz w:val="24"/>
        </w:rPr>
        <w:t>：</w:t>
      </w:r>
      <w:r>
        <w:rPr>
          <w:rFonts w:ascii="TimesNewRoman" w:hAnsi="TimesNewRoman"/>
          <w:sz w:val="24"/>
        </w:rPr>
        <w:t>NMT 0.20 % (w/w)</w:t>
      </w:r>
      <w:r>
        <w:rPr>
          <w:rFonts w:hint="eastAsia" w:ascii="TimesNewRoman" w:hAnsi="TimesNewRoman"/>
          <w:sz w:val="24"/>
        </w:rPr>
        <w:t>；</w:t>
      </w:r>
      <w:r>
        <w:rPr>
          <w:rFonts w:ascii="TimesNewRoman" w:hAnsi="TimesNewRoman"/>
          <w:sz w:val="24"/>
        </w:rPr>
        <w:t>BA 338 BR</w:t>
      </w:r>
      <w:r>
        <w:rPr>
          <w:rFonts w:hint="eastAsia" w:ascii="TimesNewRoman" w:hAnsi="TimesNewRoman"/>
          <w:sz w:val="24"/>
        </w:rPr>
        <w:t>，</w:t>
      </w:r>
      <w:r>
        <w:rPr>
          <w:rFonts w:ascii="TimesNewRoman" w:hAnsi="TimesNewRoman"/>
          <w:sz w:val="24"/>
        </w:rPr>
        <w:t>SCH 731 BR</w:t>
      </w:r>
      <w:r>
        <w:rPr>
          <w:rFonts w:hint="eastAsia" w:ascii="TimesNewRoman" w:hAnsi="TimesNewRoman"/>
          <w:sz w:val="24"/>
        </w:rPr>
        <w:t>：</w:t>
      </w:r>
      <w:r>
        <w:rPr>
          <w:rFonts w:ascii="TimesNewRoman" w:hAnsi="TimesNewRoman"/>
          <w:sz w:val="24"/>
        </w:rPr>
        <w:t>NMT 0.50 % (w/w)</w:t>
      </w:r>
      <w:r>
        <w:rPr>
          <w:rFonts w:hint="eastAsia" w:ascii="TimesNewRoman" w:hAnsi="TimesNewRoman"/>
          <w:sz w:val="24"/>
        </w:rPr>
        <w:t>】以原料药的放行标准为依据，并考虑了分析法的差异。</w:t>
      </w:r>
    </w:p>
    <w:p>
      <w:pPr>
        <w:spacing w:before="156" w:beforeLines="50" w:after="156" w:afterLines="50" w:line="400" w:lineRule="exact"/>
        <w:rPr>
          <w:rFonts w:hint="eastAsia" w:ascii="TimesNewRoman" w:hAnsi="TimesNewRoman"/>
          <w:sz w:val="24"/>
          <w:u w:val="single"/>
        </w:rPr>
      </w:pPr>
      <w:r>
        <w:rPr>
          <w:rFonts w:hint="eastAsia" w:ascii="TimesNewRoman" w:hAnsi="TimesNewRoman"/>
          <w:sz w:val="24"/>
          <w:u w:val="single"/>
        </w:rPr>
        <w:t>未确定的BEA 2180 BR降解产物</w:t>
      </w:r>
    </w:p>
    <w:p>
      <w:pPr>
        <w:spacing w:before="156" w:beforeLines="50" w:line="400" w:lineRule="exact"/>
        <w:ind w:firstLine="482"/>
        <w:rPr>
          <w:rFonts w:hint="eastAsia" w:ascii="TimesNewRoman" w:hAnsi="TimesNewRoman"/>
          <w:sz w:val="24"/>
        </w:rPr>
      </w:pPr>
      <w:r>
        <w:rPr>
          <w:rFonts w:hint="eastAsia" w:ascii="TimesNewRoman" w:hAnsi="TimesNewRoman"/>
          <w:sz w:val="24"/>
        </w:rPr>
        <w:t>对应ICH</w:t>
      </w:r>
      <w:r>
        <w:rPr>
          <w:rFonts w:ascii="TimesNewRoman" w:hAnsi="TimesNewRoman"/>
          <w:sz w:val="24"/>
        </w:rPr>
        <w:t xml:space="preserve"> Q3B(R)</w:t>
      </w:r>
      <w:r>
        <w:rPr>
          <w:rFonts w:hint="eastAsia" w:ascii="TimesNewRoman" w:hAnsi="TimesNewRoman"/>
          <w:sz w:val="24"/>
        </w:rPr>
        <w:t>的合格阈值的一半，贮存期限标准限度定为</w:t>
      </w:r>
      <w:r>
        <w:rPr>
          <w:rFonts w:ascii="TimesNewRoman" w:hAnsi="TimesNewRoman"/>
          <w:sz w:val="24"/>
        </w:rPr>
        <w:t>NMT 0.50%</w:t>
      </w:r>
      <w:r>
        <w:rPr>
          <w:rFonts w:hint="eastAsia" w:ascii="TimesNewRoman" w:hAnsi="TimesNewRoman"/>
          <w:sz w:val="24"/>
        </w:rPr>
        <w:t>（峰面积）。该标准不仅考虑了所有</w:t>
      </w:r>
      <w:r>
        <w:rPr>
          <w:rFonts w:ascii="TimesNewRoman" w:hAnsi="TimesNewRoman"/>
          <w:sz w:val="24"/>
        </w:rPr>
        <w:t>BEA 2180 BR</w:t>
      </w:r>
      <w:r>
        <w:rPr>
          <w:rFonts w:hint="eastAsia" w:ascii="TimesNewRoman" w:hAnsi="TimesNewRoman"/>
          <w:sz w:val="24"/>
        </w:rPr>
        <w:t>降解产物的总合格标准，而且考虑了分析法的差异。</w:t>
      </w:r>
    </w:p>
    <w:p>
      <w:pPr>
        <w:spacing w:after="156" w:afterLines="50" w:line="400" w:lineRule="exact"/>
        <w:ind w:firstLine="482"/>
        <w:rPr>
          <w:rFonts w:hint="eastAsia" w:ascii="TimesNewRoman" w:hAnsi="TimesNewRoman"/>
          <w:sz w:val="24"/>
        </w:rPr>
      </w:pPr>
      <w:r>
        <w:rPr>
          <w:rFonts w:hint="eastAsia" w:ascii="TimesNewRoman" w:hAnsi="TimesNewRoman"/>
          <w:sz w:val="24"/>
        </w:rPr>
        <w:t>放行标准的耐受限度为</w:t>
      </w:r>
      <w:r>
        <w:rPr>
          <w:rFonts w:ascii="TimesNewRoman" w:hAnsi="TimesNewRoman"/>
          <w:sz w:val="24"/>
        </w:rPr>
        <w:t>NMT 0.</w:t>
      </w:r>
      <w:r>
        <w:rPr>
          <w:rFonts w:hint="eastAsia" w:ascii="TimesNewRoman" w:hAnsi="TimesNewRoman"/>
          <w:sz w:val="24"/>
        </w:rPr>
        <w:t>2</w:t>
      </w:r>
      <w:r>
        <w:rPr>
          <w:rFonts w:ascii="TimesNewRoman" w:hAnsi="TimesNewRoman"/>
          <w:sz w:val="24"/>
        </w:rPr>
        <w:t>0%</w:t>
      </w:r>
      <w:r>
        <w:rPr>
          <w:rFonts w:hint="eastAsia" w:ascii="TimesNewRoman" w:hAnsi="TimesNewRoman"/>
          <w:sz w:val="24"/>
        </w:rPr>
        <w:t>（峰面积），这反映了原料药的放行标准，并考虑了分析法的差异。</w:t>
      </w:r>
    </w:p>
    <w:p>
      <w:pPr>
        <w:spacing w:before="156" w:beforeLines="50" w:after="156" w:afterLines="50" w:line="400" w:lineRule="exact"/>
        <w:rPr>
          <w:rFonts w:hint="eastAsia" w:ascii="TimesNewRoman" w:hAnsi="TimesNewRoman"/>
          <w:sz w:val="24"/>
          <w:u w:val="single"/>
        </w:rPr>
      </w:pPr>
      <w:r>
        <w:rPr>
          <w:rFonts w:hint="eastAsia" w:ascii="TimesNewRoman" w:hAnsi="TimesNewRoman"/>
          <w:sz w:val="24"/>
          <w:u w:val="single"/>
        </w:rPr>
        <w:t>所有BEA 2180 BR降解产物的总和</w:t>
      </w:r>
    </w:p>
    <w:p>
      <w:pPr>
        <w:spacing w:before="156" w:beforeLines="50" w:line="400" w:lineRule="exact"/>
        <w:ind w:firstLine="482"/>
        <w:rPr>
          <w:rFonts w:hint="eastAsia" w:ascii="TimesNewRoman" w:hAnsi="TimesNewRoman"/>
          <w:sz w:val="24"/>
        </w:rPr>
      </w:pPr>
      <w:r>
        <w:rPr>
          <w:rFonts w:hint="eastAsia" w:ascii="TimesNewRoman" w:hAnsi="TimesNewRoman"/>
          <w:sz w:val="24"/>
        </w:rPr>
        <w:t>贮存期限标准限度定为</w:t>
      </w:r>
      <w:r>
        <w:rPr>
          <w:rFonts w:ascii="TimesNewRoman" w:hAnsi="TimesNewRoman"/>
          <w:sz w:val="24"/>
        </w:rPr>
        <w:t>NMT</w:t>
      </w:r>
      <w:r>
        <w:rPr>
          <w:rFonts w:hint="eastAsia" w:ascii="TimesNewRoman" w:hAnsi="TimesNewRoman"/>
          <w:sz w:val="24"/>
        </w:rPr>
        <w:t xml:space="preserve"> 2</w:t>
      </w:r>
      <w:r>
        <w:rPr>
          <w:rFonts w:ascii="TimesNewRoman" w:hAnsi="TimesNewRoman"/>
          <w:sz w:val="24"/>
        </w:rPr>
        <w:t>.50%</w:t>
      </w:r>
      <w:r>
        <w:rPr>
          <w:rFonts w:hint="eastAsia" w:ascii="TimesNewRoman" w:hAnsi="TimesNewRoman"/>
          <w:sz w:val="24"/>
        </w:rPr>
        <w:t>。该标准限度表明，长期和加速稳定性实验期间，降解产物量很少。</w:t>
      </w:r>
    </w:p>
    <w:p>
      <w:pPr>
        <w:spacing w:line="400" w:lineRule="exact"/>
        <w:ind w:firstLine="482"/>
        <w:rPr>
          <w:rFonts w:hint="eastAsia" w:ascii="TimesNewRoman" w:hAnsi="TimesNewRoman"/>
          <w:sz w:val="24"/>
        </w:rPr>
      </w:pPr>
      <w:r>
        <w:rPr>
          <w:rFonts w:hint="eastAsia" w:ascii="TimesNewRoman" w:hAnsi="TimesNewRoman"/>
          <w:sz w:val="24"/>
        </w:rPr>
        <w:t>根据所有已知降解产物的放行标准的总和，并考虑了分析法的差异，确定放行标准（</w:t>
      </w:r>
      <w:r>
        <w:rPr>
          <w:rFonts w:ascii="TimesNewRoman" w:hAnsi="TimesNewRoman"/>
          <w:sz w:val="24"/>
        </w:rPr>
        <w:t>NMT</w:t>
      </w:r>
      <w:r>
        <w:rPr>
          <w:rFonts w:hint="eastAsia" w:ascii="TimesNewRoman" w:hAnsi="TimesNewRoman"/>
          <w:sz w:val="24"/>
        </w:rPr>
        <w:t xml:space="preserve"> 2</w:t>
      </w:r>
      <w:r>
        <w:rPr>
          <w:rFonts w:ascii="TimesNewRoman" w:hAnsi="TimesNewRoman"/>
          <w:sz w:val="24"/>
        </w:rPr>
        <w:t>.</w:t>
      </w:r>
      <w:r>
        <w:rPr>
          <w:rFonts w:hint="eastAsia" w:ascii="TimesNewRoman" w:hAnsi="TimesNewRoman"/>
          <w:sz w:val="24"/>
        </w:rPr>
        <w:t>0</w:t>
      </w:r>
      <w:r>
        <w:rPr>
          <w:rFonts w:ascii="TimesNewRoman" w:hAnsi="TimesNewRoman"/>
          <w:sz w:val="24"/>
        </w:rPr>
        <w:t>0%</w:t>
      </w:r>
      <w:r>
        <w:rPr>
          <w:rFonts w:hint="eastAsia" w:ascii="TimesNewRoman" w:hAnsi="TimesNewRoman"/>
          <w:sz w:val="24"/>
        </w:rPr>
        <w:t>）。</w:t>
      </w:r>
    </w:p>
    <w:p>
      <w:pPr>
        <w:spacing w:line="400" w:lineRule="exact"/>
        <w:ind w:firstLine="482"/>
        <w:rPr>
          <w:rFonts w:hint="eastAsia" w:ascii="TimesNewRoman" w:hAnsi="TimesNewRoman"/>
          <w:sz w:val="24"/>
        </w:rPr>
      </w:pPr>
      <w:r>
        <w:rPr>
          <w:rFonts w:hint="eastAsia" w:ascii="TimesNewRoman" w:hAnsi="TimesNewRoman"/>
          <w:sz w:val="24"/>
        </w:rPr>
        <w:t>所有标准限度都已经通过毒理学评价。</w:t>
      </w:r>
    </w:p>
    <w:p>
      <w:pPr>
        <w:pStyle w:val="3"/>
        <w:spacing w:before="120" w:after="120" w:line="400" w:lineRule="exact"/>
        <w:rPr>
          <w:rFonts w:hint="eastAsia" w:ascii="Times New Roman" w:hAnsi="Times New Roman" w:eastAsia="宋体"/>
          <w:sz w:val="24"/>
        </w:rPr>
      </w:pPr>
      <w:bookmarkStart w:id="5" w:name="_Toc188944296"/>
      <w:r>
        <w:rPr>
          <w:rFonts w:hint="eastAsia" w:ascii="Times New Roman" w:hAnsi="Times New Roman" w:eastAsia="宋体"/>
          <w:sz w:val="24"/>
        </w:rPr>
        <w:t>2.2 测定法</w:t>
      </w:r>
      <w:bookmarkEnd w:id="5"/>
    </w:p>
    <w:p>
      <w:pPr>
        <w:spacing w:before="156" w:beforeLines="50" w:after="156" w:afterLines="50" w:line="400" w:lineRule="exact"/>
        <w:ind w:firstLine="480"/>
        <w:rPr>
          <w:rFonts w:hint="eastAsia"/>
          <w:sz w:val="24"/>
        </w:rPr>
      </w:pPr>
      <w:r>
        <w:rPr>
          <w:rFonts w:hint="eastAsia"/>
          <w:sz w:val="24"/>
        </w:rPr>
        <w:t>有效成份含量测定是所有药品的基本要求，用于控制BEA 2180 BR Respimat</w:t>
      </w:r>
      <w:r>
        <w:rPr>
          <w:sz w:val="24"/>
          <w:vertAlign w:val="superscript"/>
        </w:rPr>
        <w:t>®</w:t>
      </w:r>
      <w:r>
        <w:rPr>
          <w:rFonts w:hint="eastAsia"/>
          <w:sz w:val="24"/>
        </w:rPr>
        <w:t>吸入液的疗效。</w:t>
      </w:r>
    </w:p>
    <w:p>
      <w:pPr>
        <w:spacing w:before="156" w:beforeLines="50" w:after="156" w:afterLines="50" w:line="400" w:lineRule="exact"/>
        <w:ind w:firstLine="480"/>
        <w:rPr>
          <w:sz w:val="24"/>
        </w:rPr>
      </w:pPr>
      <w:r>
        <w:rPr>
          <w:rFonts w:hint="eastAsia"/>
          <w:sz w:val="24"/>
        </w:rPr>
        <w:t>推荐的</w:t>
      </w:r>
      <w:r>
        <w:rPr>
          <w:rFonts w:hint="eastAsia" w:ascii="TimesNewRoman" w:hAnsi="TimesNewRoman"/>
          <w:sz w:val="24"/>
        </w:rPr>
        <w:t>贮存期限标准符合标准要求（</w:t>
      </w:r>
      <w:r>
        <w:rPr>
          <w:rFonts w:ascii="TimesNewRoman" w:hAnsi="TimesNewRoman"/>
          <w:sz w:val="24"/>
        </w:rPr>
        <w:t>90-110%</w:t>
      </w:r>
      <w:r>
        <w:rPr>
          <w:rFonts w:hint="eastAsia" w:ascii="TimesNewRoman" w:hAnsi="TimesNewRoman"/>
          <w:sz w:val="24"/>
        </w:rPr>
        <w:t>）。放行标准限度（</w:t>
      </w:r>
      <w:r>
        <w:rPr>
          <w:rFonts w:ascii="TimesNewRoman" w:hAnsi="TimesNewRoman"/>
          <w:sz w:val="24"/>
        </w:rPr>
        <w:t>100%</w:t>
      </w:r>
      <w:r>
        <w:rPr>
          <w:rFonts w:ascii="Symbol" w:hAnsi="Symbol"/>
          <w:sz w:val="24"/>
        </w:rPr>
        <w:t></w:t>
      </w:r>
      <w:r>
        <w:rPr>
          <w:rFonts w:ascii="TimesNewRoman" w:hAnsi="TimesNewRoman"/>
          <w:sz w:val="24"/>
        </w:rPr>
        <w:t>5%</w:t>
      </w:r>
      <w:r>
        <w:rPr>
          <w:rFonts w:hint="eastAsia" w:ascii="TimesNewRoman" w:hAnsi="TimesNewRoman"/>
          <w:sz w:val="24"/>
        </w:rPr>
        <w:t>）考虑了批内生产和分析的准确度和精密度。贮存期限标准的上限（</w:t>
      </w:r>
      <w:r>
        <w:rPr>
          <w:rFonts w:ascii="TimesNewRoman" w:hAnsi="TimesNewRoman"/>
          <w:sz w:val="24"/>
        </w:rPr>
        <w:t>110%</w:t>
      </w:r>
      <w:r>
        <w:rPr>
          <w:rFonts w:hint="eastAsia" w:ascii="TimesNewRoman" w:hAnsi="TimesNewRoman"/>
          <w:sz w:val="24"/>
        </w:rPr>
        <w:t>）高于放行标准（</w:t>
      </w:r>
      <w:r>
        <w:rPr>
          <w:rFonts w:ascii="TimesNewRoman" w:hAnsi="TimesNewRoman"/>
          <w:sz w:val="24"/>
        </w:rPr>
        <w:t>105%</w:t>
      </w:r>
      <w:r>
        <w:rPr>
          <w:rFonts w:hint="eastAsia" w:ascii="TimesNewRoman" w:hAnsi="TimesNewRoman"/>
          <w:sz w:val="24"/>
        </w:rPr>
        <w:t>），涵盖了</w:t>
      </w:r>
      <w:r>
        <w:rPr>
          <w:rFonts w:hint="eastAsia"/>
          <w:sz w:val="24"/>
        </w:rPr>
        <w:t>插入吸入器的药液筒在使用期间稳定性实验中因蒸发作用而出现的测定值升高。</w:t>
      </w:r>
    </w:p>
    <w:p>
      <w:pPr>
        <w:pStyle w:val="3"/>
        <w:spacing w:before="120" w:after="120" w:line="400" w:lineRule="exact"/>
        <w:rPr>
          <w:rFonts w:hint="eastAsia" w:ascii="Times New Roman" w:hAnsi="Times New Roman" w:eastAsia="宋体"/>
          <w:sz w:val="24"/>
        </w:rPr>
      </w:pPr>
      <w:r>
        <w:rPr>
          <w:sz w:val="24"/>
        </w:rPr>
        <w:br w:type="page"/>
      </w:r>
      <w:bookmarkStart w:id="6" w:name="_Toc188944297"/>
      <w:r>
        <w:rPr>
          <w:rFonts w:hint="eastAsia" w:ascii="Times New Roman" w:hAnsi="Times New Roman" w:eastAsia="宋体"/>
          <w:sz w:val="24"/>
        </w:rPr>
        <w:t>2.3 微生物学纯度</w:t>
      </w:r>
      <w:bookmarkEnd w:id="6"/>
    </w:p>
    <w:p>
      <w:pPr>
        <w:spacing w:before="156" w:beforeLines="50" w:after="156" w:afterLines="50" w:line="400" w:lineRule="exact"/>
        <w:ind w:firstLine="480"/>
        <w:rPr>
          <w:rFonts w:hint="eastAsia"/>
          <w:sz w:val="24"/>
        </w:rPr>
      </w:pPr>
      <w:r>
        <w:rPr>
          <w:rFonts w:hint="eastAsia"/>
          <w:sz w:val="24"/>
        </w:rPr>
        <w:t>按照现行版欧洲药典的第2类规定，对BEA 2180 BR Respimat</w:t>
      </w:r>
      <w:r>
        <w:rPr>
          <w:sz w:val="24"/>
          <w:vertAlign w:val="superscript"/>
        </w:rPr>
        <w:t>®</w:t>
      </w:r>
      <w:r>
        <w:rPr>
          <w:rFonts w:hint="eastAsia"/>
          <w:sz w:val="24"/>
        </w:rPr>
        <w:t>吸入液的微生物学纯度进行检查。</w:t>
      </w:r>
    </w:p>
    <w:p>
      <w:pPr>
        <w:pStyle w:val="3"/>
        <w:spacing w:before="120" w:after="120" w:line="400" w:lineRule="exact"/>
        <w:rPr>
          <w:rFonts w:hint="eastAsia" w:ascii="Times New Roman" w:hAnsi="Times New Roman" w:eastAsia="宋体"/>
          <w:sz w:val="24"/>
        </w:rPr>
      </w:pPr>
      <w:bookmarkStart w:id="7" w:name="_Toc188944298"/>
      <w:r>
        <w:rPr>
          <w:rFonts w:hint="eastAsia" w:ascii="Times New Roman" w:hAnsi="Times New Roman" w:eastAsia="宋体"/>
          <w:sz w:val="24"/>
        </w:rPr>
        <w:t>2.4 喷雾的含量均匀度和给药剂量的均一性</w:t>
      </w:r>
      <w:bookmarkEnd w:id="7"/>
    </w:p>
    <w:p>
      <w:pPr>
        <w:spacing w:before="156" w:beforeLines="50" w:after="156" w:afterLines="50" w:line="400" w:lineRule="exact"/>
        <w:ind w:firstLine="480"/>
        <w:rPr>
          <w:rFonts w:hint="eastAsia"/>
          <w:sz w:val="24"/>
        </w:rPr>
      </w:pPr>
      <w:r>
        <w:rPr>
          <w:rFonts w:hint="eastAsia"/>
          <w:sz w:val="24"/>
        </w:rPr>
        <w:t>按照EMEA指导原则中吸入剂和滴鼻剂</w:t>
      </w:r>
      <w:r>
        <w:rPr>
          <w:rFonts w:hint="eastAsia" w:ascii="TimesNewRoman" w:hAnsi="TimesNewRoman"/>
          <w:sz w:val="24"/>
        </w:rPr>
        <w:t>药学质量的规定，</w:t>
      </w:r>
      <w:r>
        <w:rPr>
          <w:rFonts w:hint="eastAsia"/>
          <w:sz w:val="24"/>
        </w:rPr>
        <w:t>检查项目“喷雾的含量均匀度”（在10个吸入器开始使用时各给药1次）和“给药剂量的均一性”（一个吸入器喷雾给药10次；</w:t>
      </w:r>
      <w:r>
        <w:rPr>
          <w:rFonts w:ascii="TimesNewRoman" w:hAnsi="TimesNewRoman"/>
          <w:sz w:val="24"/>
        </w:rPr>
        <w:t>3-4-3</w:t>
      </w:r>
      <w:r>
        <w:rPr>
          <w:rFonts w:hint="eastAsia" w:ascii="TimesNewRoman" w:hAnsi="TimesNewRoman"/>
          <w:sz w:val="24"/>
        </w:rPr>
        <w:t>检查</w:t>
      </w:r>
      <w:r>
        <w:rPr>
          <w:rFonts w:hint="eastAsia"/>
          <w:sz w:val="24"/>
        </w:rPr>
        <w:t>）反映了不同吸入器间和同一吸入器内的差异。合格标准符合欧洲药典（专论0671，吸入剂的制备）。</w:t>
      </w:r>
    </w:p>
    <w:p>
      <w:pPr>
        <w:pStyle w:val="3"/>
        <w:spacing w:before="120" w:after="120" w:line="400" w:lineRule="exact"/>
        <w:rPr>
          <w:rFonts w:hint="eastAsia" w:ascii="Times New Roman" w:hAnsi="Times New Roman" w:eastAsia="宋体"/>
          <w:sz w:val="24"/>
        </w:rPr>
      </w:pPr>
      <w:bookmarkStart w:id="8" w:name="_Toc188944299"/>
      <w:r>
        <w:rPr>
          <w:rFonts w:hint="eastAsia" w:ascii="Times New Roman" w:hAnsi="Times New Roman" w:eastAsia="宋体"/>
          <w:sz w:val="24"/>
        </w:rPr>
        <w:t>2.5 空气动力学微小粒子剂量</w:t>
      </w:r>
      <w:bookmarkEnd w:id="8"/>
    </w:p>
    <w:p>
      <w:pPr>
        <w:spacing w:before="156" w:beforeLines="50" w:line="400" w:lineRule="exact"/>
        <w:ind w:firstLine="482"/>
        <w:rPr>
          <w:rFonts w:hint="eastAsia"/>
          <w:sz w:val="24"/>
        </w:rPr>
      </w:pPr>
      <w:r>
        <w:rPr>
          <w:rFonts w:hint="eastAsia"/>
          <w:sz w:val="24"/>
        </w:rPr>
        <w:t>按照EMEA指导原则中吸入剂和滴鼻剂</w:t>
      </w:r>
      <w:r>
        <w:rPr>
          <w:rFonts w:hint="eastAsia" w:ascii="TimesNewRoman" w:hAnsi="TimesNewRoman"/>
          <w:sz w:val="24"/>
        </w:rPr>
        <w:t>药学质量的规定，需要测定</w:t>
      </w:r>
      <w:r>
        <w:rPr>
          <w:rFonts w:hint="eastAsia"/>
          <w:sz w:val="24"/>
        </w:rPr>
        <w:t>微小粒子质量。按照欧洲药典（专论0671，吸入剂的制备），通过使用ACI或通过激光衍射法进行该项检查。</w:t>
      </w:r>
    </w:p>
    <w:p>
      <w:pPr>
        <w:tabs>
          <w:tab w:val="left" w:pos="5940"/>
        </w:tabs>
        <w:spacing w:after="156" w:afterLines="50" w:line="400" w:lineRule="exact"/>
        <w:ind w:firstLine="482"/>
        <w:rPr>
          <w:rFonts w:hint="eastAsia"/>
          <w:sz w:val="24"/>
        </w:rPr>
      </w:pPr>
      <w:r>
        <w:rPr>
          <w:rFonts w:hint="eastAsia"/>
          <w:sz w:val="24"/>
        </w:rPr>
        <w:t>根据体内研究和稳定性研究中使用的批次的结果的统计学评价，确定</w:t>
      </w:r>
      <w:r>
        <w:rPr>
          <w:rFonts w:ascii="TimesNewRoman" w:hAnsi="TimesNewRoman"/>
          <w:sz w:val="24"/>
        </w:rPr>
        <w:t>≤ 5.0 µm</w:t>
      </w:r>
      <w:r>
        <w:rPr>
          <w:rFonts w:hint="eastAsia" w:ascii="TimesNewRoman" w:hAnsi="TimesNewRoman"/>
          <w:sz w:val="24"/>
        </w:rPr>
        <w:t>（</w:t>
      </w:r>
      <w:r>
        <w:rPr>
          <w:rFonts w:ascii="TimesNewRoman" w:hAnsi="TimesNewRoman"/>
          <w:sz w:val="24"/>
        </w:rPr>
        <w:t>ACI</w:t>
      </w:r>
      <w:r>
        <w:rPr>
          <w:rFonts w:hint="eastAsia" w:ascii="TimesNewRoman" w:hAnsi="TimesNewRoman"/>
          <w:sz w:val="24"/>
        </w:rPr>
        <w:t>）的</w:t>
      </w:r>
      <w:r>
        <w:rPr>
          <w:rFonts w:hint="eastAsia"/>
          <w:sz w:val="24"/>
        </w:rPr>
        <w:t>空气动力学微小粒子剂量</w:t>
      </w:r>
      <w:r>
        <w:rPr>
          <w:rFonts w:hint="eastAsia" w:ascii="TimesNewRoman" w:hAnsi="TimesNewRoman"/>
          <w:sz w:val="24"/>
        </w:rPr>
        <w:t>/</w:t>
      </w:r>
      <w:r>
        <w:rPr>
          <w:rFonts w:ascii="TimesNewRoman" w:hAnsi="TimesNewRoman"/>
          <w:sz w:val="24"/>
        </w:rPr>
        <w:t>≤ 5.0 µm</w:t>
      </w:r>
      <w:r>
        <w:rPr>
          <w:rFonts w:hint="eastAsia" w:ascii="TimesNewRoman" w:hAnsi="TimesNewRoman"/>
          <w:sz w:val="24"/>
        </w:rPr>
        <w:t>的微小粒子分数（激光衍射）的</w:t>
      </w:r>
      <w:r>
        <w:rPr>
          <w:rFonts w:hint="eastAsia"/>
          <w:sz w:val="24"/>
        </w:rPr>
        <w:t>合格标准</w:t>
      </w:r>
      <w:r>
        <w:rPr>
          <w:rFonts w:hint="eastAsia" w:ascii="TimesNewRoman" w:hAnsi="TimesNewRoman"/>
          <w:sz w:val="24"/>
        </w:rPr>
        <w:t>。尚未获得充分的数据库。</w:t>
      </w:r>
    </w:p>
    <w:sectPr>
      <w:headerReference r:id="rId9" w:type="default"/>
      <w:footnotePr>
        <w:numFmt w:val="decimal"/>
      </w:footnotePr>
      <w:type w:val="continuous"/>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TimesNewRoman">
    <w:altName w:val="Times New Roman"/>
    <w:panose1 w:val="00000000000000000000"/>
    <w:charset w:val="00"/>
    <w:family w:val="roman"/>
    <w:pitch w:val="default"/>
    <w:sig w:usb0="00000003" w:usb1="080E0000" w:usb2="0000001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b/>
        <w:bCs/>
      </w:rPr>
    </w:pPr>
    <w:r>
      <w:rPr>
        <w:rFonts w:hint="eastAsia"/>
        <w:b/>
        <w:bCs/>
      </w:rPr>
      <w:t>研究性药品文件</w:t>
    </w:r>
  </w:p>
  <w:p>
    <w:pPr>
      <w:pStyle w:val="9"/>
      <w:rPr>
        <w:rFonts w:hint="eastAsia"/>
        <w:b/>
        <w:bCs/>
      </w:rPr>
    </w:pPr>
    <w:r>
      <w:rPr>
        <w:rFonts w:hint="eastAsia"/>
        <w:b/>
        <w:bCs/>
      </w:rPr>
      <w:t>BEA 2180 BR－01版（1205.14试验）</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48"/>
      <w:gridCol w:w="2137"/>
      <w:gridCol w:w="21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48" w:type="dxa"/>
          <w:noWrap w:val="0"/>
          <w:vAlign w:val="top"/>
        </w:tcPr>
        <w:p>
          <w:pPr>
            <w:pStyle w:val="10"/>
            <w:pBdr>
              <w:bottom w:val="none" w:color="auto" w:sz="0" w:space="0"/>
            </w:pBdr>
            <w:jc w:val="both"/>
            <w:rPr>
              <w:rFonts w:hint="eastAsia"/>
              <w:b/>
              <w:bCs/>
              <w:sz w:val="21"/>
            </w:rPr>
          </w:pPr>
          <w:r>
            <w:rPr>
              <w:rFonts w:hint="eastAsia"/>
              <w:b/>
              <w:bCs/>
              <w:sz w:val="21"/>
            </w:rPr>
            <w:t>药品质量标准的建立</w:t>
          </w:r>
        </w:p>
      </w:tc>
      <w:tc>
        <w:tcPr>
          <w:tcW w:w="2137" w:type="dxa"/>
          <w:noWrap w:val="0"/>
          <w:vAlign w:val="top"/>
        </w:tcPr>
        <w:p>
          <w:pPr>
            <w:pStyle w:val="10"/>
            <w:pBdr>
              <w:bottom w:val="none" w:color="auto" w:sz="0" w:space="0"/>
            </w:pBdr>
            <w:jc w:val="both"/>
            <w:rPr>
              <w:rFonts w:hint="eastAsia"/>
            </w:rPr>
          </w:pPr>
          <w:r>
            <w:rPr>
              <w:rFonts w:hint="eastAsia"/>
            </w:rPr>
            <w:t>内部编号</w:t>
          </w:r>
        </w:p>
        <w:p>
          <w:pPr>
            <w:pStyle w:val="10"/>
            <w:pBdr>
              <w:bottom w:val="none" w:color="auto" w:sz="0" w:space="0"/>
            </w:pBdr>
            <w:jc w:val="both"/>
            <w:rPr>
              <w:rFonts w:hint="eastAsia"/>
            </w:rPr>
          </w:pPr>
          <w:r>
            <w:rPr>
              <w:rFonts w:hint="eastAsia"/>
            </w:rPr>
            <w:t>ADD 1358</w:t>
          </w:r>
        </w:p>
      </w:tc>
      <w:tc>
        <w:tcPr>
          <w:tcW w:w="2137" w:type="dxa"/>
          <w:noWrap w:val="0"/>
          <w:vAlign w:val="top"/>
        </w:tcPr>
        <w:p>
          <w:pPr>
            <w:pStyle w:val="10"/>
            <w:pBdr>
              <w:bottom w:val="none" w:color="auto" w:sz="0" w:space="0"/>
            </w:pBdr>
            <w:jc w:val="both"/>
            <w:rPr>
              <w:rFonts w:hint="eastAsia"/>
            </w:rPr>
          </w:pPr>
          <w:r>
            <w:rPr>
              <w:rFonts w:hint="eastAsia"/>
            </w:rPr>
            <w:t>页码</w:t>
          </w:r>
        </w:p>
        <w:p>
          <w:pPr>
            <w:pStyle w:val="10"/>
            <w:pBdr>
              <w:bottom w:val="none" w:color="auto" w:sz="0" w:space="0"/>
            </w:pBdr>
            <w:jc w:val="both"/>
            <w:rPr>
              <w:rFonts w:hint="eastAsia"/>
            </w:rPr>
          </w:pPr>
          <w:r>
            <w:rPr>
              <w:rStyle w:val="17"/>
            </w:rPr>
            <w:fldChar w:fldCharType="begin"/>
          </w:r>
          <w:r>
            <w:rPr>
              <w:rStyle w:val="17"/>
            </w:rPr>
            <w:instrText xml:space="preserve"> PAGE </w:instrText>
          </w:r>
          <w:r>
            <w:rPr>
              <w:rStyle w:val="17"/>
            </w:rPr>
            <w:fldChar w:fldCharType="separate"/>
          </w:r>
          <w:r>
            <w:rPr>
              <w:rStyle w:val="17"/>
              <w:lang/>
            </w:rPr>
            <w:t>6</w:t>
          </w:r>
          <w:r>
            <w:rPr>
              <w:rStyle w:val="17"/>
            </w:rPr>
            <w:fldChar w:fldCharType="end"/>
          </w:r>
          <w:r>
            <w:rPr>
              <w:rFonts w:hint="eastAsia"/>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3"/>
          <w:noWrap w:val="0"/>
          <w:vAlign w:val="top"/>
        </w:tcPr>
        <w:p>
          <w:pPr>
            <w:pStyle w:val="10"/>
            <w:pBdr>
              <w:bottom w:val="none" w:color="auto" w:sz="0" w:space="0"/>
            </w:pBdr>
            <w:rPr>
              <w:rFonts w:hint="eastAsia"/>
            </w:rPr>
          </w:pPr>
          <w:r>
            <w:rPr>
              <w:rFonts w:hint="eastAsia" w:cs="宋体"/>
              <w:lang w:val="en-GB"/>
            </w:rPr>
            <w:t>版权所有，机密信息。</w:t>
          </w:r>
          <w:r>
            <w:rPr>
              <w:lang w:val="en-GB"/>
            </w:rPr>
            <w:sym w:font="Symbol" w:char="F0E3"/>
          </w:r>
          <w:r>
            <w:rPr>
              <w:rFonts w:hint="eastAsia"/>
              <w:lang w:val="en-GB"/>
            </w:rPr>
            <w:t xml:space="preserve"> 2007 </w:t>
          </w:r>
          <w:r>
            <w:rPr>
              <w:lang w:val="en-GB"/>
            </w:rPr>
            <w:t>Boehringer Ingelheim International GmbH</w:t>
          </w:r>
          <w:r>
            <w:rPr>
              <w:rFonts w:hint="eastAsia" w:cs="宋体"/>
              <w:lang w:val="en-GB"/>
            </w:rPr>
            <w:t>或其下属公司</w:t>
          </w:r>
        </w:p>
      </w:tc>
    </w:tr>
  </w:tbl>
  <w:p>
    <w:pPr>
      <w:pStyle w:val="10"/>
      <w:jc w:val="both"/>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B376B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2" w:semiHidden="0" w:name="heading 1"/>
    <w:lsdException w:unhideWhenUsed="0" w:uiPriority="2" w:semiHidden="0" w:name="heading 2"/>
    <w:lsdException w:unhideWhenUsed="0" w:uiPriority="2"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2" w:semiHidden="0" w:name="toc 1"/>
    <w:lsdException w:unhideWhenUsed="0" w:uiPriority="2" w:semiHidden="0" w:name="toc 2"/>
    <w:lsdException w:unhideWhenUsed="0" w:uiPriority="2" w:semiHidden="0" w:name="toc 3"/>
    <w:lsdException w:unhideWhenUsed="0" w:uiPriority="2" w:semiHidden="0" w:name="toc 4"/>
    <w:lsdException w:unhideWhenUsed="0" w:uiPriority="2" w:semiHidden="0" w:name="toc 5"/>
    <w:lsdException w:unhideWhenUsed="0" w:uiPriority="2" w:semiHidden="0" w:name="toc 6"/>
    <w:lsdException w:unhideWhenUsed="0" w:uiPriority="2" w:semiHidden="0" w:name="toc 7"/>
    <w:lsdException w:unhideWhenUsed="0" w:uiPriority="2" w:semiHidden="0" w:name="toc 8"/>
    <w:lsdException w:unhideWhenUsed="0" w:uiPriority="2"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723"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2383" w:semiHidden="0" w:name="Hyperlink"/>
    <w:lsdException w:unhideWhenUsed="0" w:uiPriority="2398"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2"/>
    <w:pPr>
      <w:keepNext/>
      <w:keepLines/>
      <w:spacing w:before="340" w:after="330" w:line="578" w:lineRule="auto"/>
      <w:outlineLvl w:val="0"/>
    </w:pPr>
    <w:rPr>
      <w:b/>
      <w:bCs/>
      <w:kern w:val="44"/>
      <w:sz w:val="44"/>
      <w:szCs w:val="44"/>
    </w:rPr>
  </w:style>
  <w:style w:type="paragraph" w:styleId="3">
    <w:name w:val="heading 2"/>
    <w:basedOn w:val="1"/>
    <w:next w:val="1"/>
    <w:uiPriority w:val="2"/>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iPriority w:val="2"/>
    <w:pPr>
      <w:keepNext/>
      <w:keepLines/>
      <w:spacing w:before="260" w:after="260" w:line="416" w:lineRule="auto"/>
      <w:outlineLvl w:val="2"/>
    </w:pPr>
    <w:rPr>
      <w:b/>
      <w:bCs/>
      <w:sz w:val="32"/>
      <w:szCs w:val="32"/>
    </w:rPr>
  </w:style>
  <w:style w:type="character" w:default="1" w:styleId="16">
    <w:name w:val="Default Paragraph Font"/>
    <w:uiPriority w:val="1723"/>
  </w:style>
  <w:style w:type="table" w:default="1" w:styleId="20">
    <w:name w:val="Normal Table"/>
    <w:semiHidden/>
    <w:qFormat/>
    <w:uiPriority w:val="0"/>
    <w:tblPr>
      <w:tblLayout w:type="fixed"/>
      <w:tblCellMar>
        <w:top w:w="0" w:type="dxa"/>
        <w:left w:w="108" w:type="dxa"/>
        <w:bottom w:w="0" w:type="dxa"/>
        <w:right w:w="108" w:type="dxa"/>
      </w:tblCellMar>
    </w:tblPr>
  </w:style>
  <w:style w:type="paragraph" w:styleId="5">
    <w:name w:val="toc 7"/>
    <w:basedOn w:val="1"/>
    <w:next w:val="1"/>
    <w:uiPriority w:val="2"/>
    <w:pPr>
      <w:ind w:left="2520" w:leftChars="1200"/>
    </w:pPr>
  </w:style>
  <w:style w:type="paragraph" w:styleId="6">
    <w:name w:val="toc 5"/>
    <w:basedOn w:val="1"/>
    <w:next w:val="1"/>
    <w:uiPriority w:val="2"/>
    <w:pPr>
      <w:ind w:left="1680" w:leftChars="800"/>
    </w:pPr>
  </w:style>
  <w:style w:type="paragraph" w:styleId="7">
    <w:name w:val="toc 3"/>
    <w:basedOn w:val="1"/>
    <w:next w:val="1"/>
    <w:uiPriority w:val="2"/>
    <w:pPr>
      <w:ind w:left="840" w:leftChars="400"/>
    </w:pPr>
  </w:style>
  <w:style w:type="paragraph" w:styleId="8">
    <w:name w:val="toc 8"/>
    <w:basedOn w:val="1"/>
    <w:next w:val="1"/>
    <w:uiPriority w:val="2"/>
    <w:pPr>
      <w:ind w:left="2940" w:leftChars="1400"/>
    </w:pPr>
  </w:style>
  <w:style w:type="paragraph" w:styleId="9">
    <w:name w:val="footer"/>
    <w:basedOn w:val="1"/>
    <w:uiPriority w:val="0"/>
    <w:pPr>
      <w:tabs>
        <w:tab w:val="center" w:pos="4153"/>
        <w:tab w:val="right" w:pos="8306"/>
      </w:tabs>
      <w:snapToGrid w:val="0"/>
      <w:jc w:val="left"/>
    </w:pPr>
    <w:rPr>
      <w:sz w:val="18"/>
      <w:szCs w:val="18"/>
    </w:rPr>
  </w:style>
  <w:style w:type="paragraph" w:styleId="10">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uiPriority w:val="2"/>
  </w:style>
  <w:style w:type="paragraph" w:styleId="12">
    <w:name w:val="toc 4"/>
    <w:basedOn w:val="1"/>
    <w:next w:val="1"/>
    <w:uiPriority w:val="2"/>
    <w:pPr>
      <w:ind w:left="1260" w:leftChars="600"/>
    </w:pPr>
  </w:style>
  <w:style w:type="paragraph" w:styleId="13">
    <w:name w:val="toc 6"/>
    <w:basedOn w:val="1"/>
    <w:next w:val="1"/>
    <w:uiPriority w:val="2"/>
    <w:pPr>
      <w:ind w:left="2100" w:leftChars="1000"/>
    </w:pPr>
  </w:style>
  <w:style w:type="paragraph" w:styleId="14">
    <w:name w:val="toc 2"/>
    <w:basedOn w:val="1"/>
    <w:next w:val="1"/>
    <w:uiPriority w:val="2"/>
    <w:pPr>
      <w:ind w:left="420" w:leftChars="200"/>
    </w:pPr>
  </w:style>
  <w:style w:type="paragraph" w:styleId="15">
    <w:name w:val="toc 9"/>
    <w:basedOn w:val="1"/>
    <w:next w:val="1"/>
    <w:uiPriority w:val="2"/>
    <w:pPr>
      <w:ind w:left="3360" w:leftChars="1600"/>
    </w:pPr>
  </w:style>
  <w:style w:type="character" w:styleId="17">
    <w:name w:val="page number"/>
    <w:basedOn w:val="16"/>
    <w:uiPriority w:val="0"/>
  </w:style>
  <w:style w:type="character" w:styleId="18">
    <w:name w:val="FollowedHyperlink"/>
    <w:basedOn w:val="16"/>
    <w:uiPriority w:val="2398"/>
    <w:rPr>
      <w:color w:val="800080"/>
      <w:u w:val="single"/>
    </w:rPr>
  </w:style>
  <w:style w:type="character" w:styleId="19">
    <w:name w:val="Hyperlink"/>
    <w:basedOn w:val="16"/>
    <w:uiPriority w:val="2383"/>
    <w:rPr>
      <w:color w:val="0000FF"/>
      <w:u w:val="single"/>
    </w:rPr>
  </w:style>
  <w:style w:type="paragraph" w:customStyle="1" w:styleId="21">
    <w:name w:val="CS-TP - Confidential"/>
    <w:semiHidden/>
    <w:uiPriority w:val="2"/>
    <w:pPr>
      <w:spacing w:before="60"/>
      <w:ind w:left="144"/>
    </w:pPr>
    <w:rPr>
      <w:rFonts w:ascii="Arial" w:hAnsi="Arial" w:cs="Arial"/>
      <w:b/>
      <w:bCs/>
      <w:lang w:val="de-DE" w:eastAsia="de-DE"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 </Company>
  <Pages>1</Pages>
  <Words>558</Words>
  <Characters>782</Characters>
  <Lines>97</Lines>
  <Paragraphs>55</Paragraphs>
  <TotalTime>4</TotalTime>
  <ScaleCrop>false</ScaleCrop>
  <LinksUpToDate>false</LinksUpToDate>
  <CharactersWithSpaces>3910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2008-01-22T04:16:00Z</dcterms:created>
  <dc:creator> </dc:creator>
  <cp:lastModifiedBy>狮子牙</cp:lastModifiedBy>
  <dcterms:modified xsi:type="dcterms:W3CDTF">2019-01-07T06:52:15Z</dcterms:modified>
  <dc:title> </dc:title>
  <cp:revision>194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