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98" w:lineRule="exact"/>
        <w:rPr>
          <w:sz w:val="24"/>
          <w:szCs w:val="24"/>
          <w:color w:val="auto"/>
        </w:rPr>
      </w:pPr>
    </w:p>
    <w:p>
      <w:pPr>
        <w:ind w:left="6480"/>
        <w:spacing w:after="0"/>
        <w:rPr>
          <w:sz w:val="20"/>
          <w:szCs w:val="20"/>
          <w:color w:val="auto"/>
        </w:rPr>
      </w:pPr>
      <w:r>
        <w:rPr>
          <w:rFonts w:ascii="Arial" w:cs="Arial" w:eastAsia="Arial" w:hAnsi="Arial"/>
          <w:sz w:val="72"/>
          <w:szCs w:val="72"/>
          <w:color w:val="auto"/>
        </w:rPr>
        <w:t>ABCD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172720</wp:posOffset>
                </wp:positionH>
                <wp:positionV relativeFrom="paragraph">
                  <wp:posOffset>444500</wp:posOffset>
                </wp:positionV>
                <wp:extent cx="0" cy="298005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00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pt,35pt" to="13.6pt,269.6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5746750</wp:posOffset>
                </wp:positionH>
                <wp:positionV relativeFrom="paragraph">
                  <wp:posOffset>444500</wp:posOffset>
                </wp:positionV>
                <wp:extent cx="0" cy="52641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641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35pt" to="452.5pt,76.4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168275</wp:posOffset>
                </wp:positionH>
                <wp:positionV relativeFrom="paragraph">
                  <wp:posOffset>448945</wp:posOffset>
                </wp:positionV>
                <wp:extent cx="55829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pt,35.35pt" to="452.85pt,35.35pt" o:allowincell="f" strokecolor="#000000" strokeweight="0.71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left="420"/>
        <w:spacing w:after="0"/>
        <w:rPr>
          <w:sz w:val="20"/>
          <w:szCs w:val="20"/>
          <w:color w:val="auto"/>
        </w:rPr>
      </w:pPr>
      <w:r>
        <w:rPr>
          <w:rFonts w:ascii="Times New Roman" w:cs="Times New Roman" w:eastAsia="Times New Roman" w:hAnsi="Times New Roman"/>
          <w:sz w:val="24"/>
          <w:szCs w:val="24"/>
          <w:b w:val="1"/>
          <w:bCs w:val="1"/>
          <w:color w:val="auto"/>
        </w:rPr>
        <w:t>Justification of Specification for the Drug Product</w:t>
      </w:r>
    </w:p>
    <w:p>
      <w:pPr>
        <w:spacing w:after="0" w:line="200" w:lineRule="exact"/>
        <w:rPr>
          <w:sz w:val="24"/>
          <w:szCs w:val="24"/>
          <w:color w:val="auto"/>
        </w:rPr>
      </w:pPr>
    </w:p>
    <w:p>
      <w:pPr>
        <w:spacing w:after="0" w:line="285" w:lineRule="exact"/>
        <w:rPr>
          <w:sz w:val="24"/>
          <w:szCs w:val="24"/>
          <w:color w:val="auto"/>
        </w:rPr>
      </w:pPr>
    </w:p>
    <w:tbl>
      <w:tblPr>
        <w:tblLayout w:type="fixed"/>
        <w:tblInd w:w="260" w:type="dxa"/>
        <w:tblCellMar>
          <w:top w:w="0" w:type="dxa"/>
          <w:left w:w="0" w:type="dxa"/>
          <w:bottom w:w="0" w:type="dxa"/>
          <w:right w:w="0" w:type="dxa"/>
        </w:tblCellMar>
      </w:tblPr>
      <w:tr>
        <w:trPr>
          <w:trHeight w:val="379"/>
        </w:trPr>
        <w:tc>
          <w:tcPr>
            <w:tcW w:w="6060" w:type="dxa"/>
            <w:vAlign w:val="bottom"/>
            <w:tcBorders>
              <w:top w:val="single" w:sz="8" w:color="auto"/>
              <w:right w:val="single" w:sz="8" w:color="auto"/>
            </w:tcBorders>
            <w:gridSpan w:val="2"/>
            <w:vMerge w:val="restart"/>
          </w:tcPr>
          <w:p>
            <w:pPr>
              <w:ind w:left="160"/>
              <w:spacing w:after="0"/>
              <w:rPr>
                <w:sz w:val="20"/>
                <w:szCs w:val="20"/>
                <w:color w:val="auto"/>
              </w:rPr>
            </w:pPr>
            <w:r>
              <w:rPr>
                <w:rFonts w:ascii="Times New Roman" w:cs="Times New Roman" w:eastAsia="Times New Roman" w:hAnsi="Times New Roman"/>
                <w:sz w:val="24"/>
                <w:szCs w:val="24"/>
                <w:b w:val="1"/>
                <w:bCs w:val="1"/>
                <w:color w:val="auto"/>
              </w:rPr>
              <w:t>BEA 2180 BR Respimat</w:t>
            </w:r>
            <w:r>
              <w:rPr>
                <w:rFonts w:ascii="Times New Roman" w:cs="Times New Roman" w:eastAsia="Times New Roman" w:hAnsi="Times New Roman"/>
                <w:sz w:val="31"/>
                <w:szCs w:val="31"/>
                <w:b w:val="1"/>
                <w:bCs w:val="1"/>
                <w:color w:val="auto"/>
                <w:vertAlign w:val="superscript"/>
              </w:rPr>
              <w:t>®</w:t>
            </w:r>
          </w:p>
        </w:tc>
        <w:tc>
          <w:tcPr>
            <w:tcW w:w="27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Internal Number</w:t>
            </w:r>
          </w:p>
        </w:tc>
        <w:tc>
          <w:tcPr>
            <w:tcW w:w="0" w:type="dxa"/>
            <w:vAlign w:val="bottom"/>
          </w:tcPr>
          <w:p>
            <w:pPr>
              <w:spacing w:after="0"/>
              <w:rPr>
                <w:sz w:val="1"/>
                <w:szCs w:val="1"/>
                <w:color w:val="auto"/>
              </w:rPr>
            </w:pPr>
          </w:p>
        </w:tc>
      </w:tr>
      <w:tr>
        <w:trPr>
          <w:trHeight w:val="207"/>
        </w:trPr>
        <w:tc>
          <w:tcPr>
            <w:tcW w:w="6060" w:type="dxa"/>
            <w:vAlign w:val="bottom"/>
            <w:tcBorders>
              <w:right w:val="single" w:sz="8" w:color="auto"/>
            </w:tcBorders>
            <w:gridSpan w:val="2"/>
            <w:vMerge w:val="continue"/>
          </w:tcPr>
          <w:p>
            <w:pPr>
              <w:spacing w:after="0"/>
              <w:rPr>
                <w:sz w:val="17"/>
                <w:szCs w:val="17"/>
                <w:color w:val="auto"/>
              </w:rPr>
            </w:pPr>
          </w:p>
        </w:tc>
        <w:tc>
          <w:tcPr>
            <w:tcW w:w="2740" w:type="dxa"/>
            <w:vAlign w:val="bottom"/>
            <w:tcBorders>
              <w:right w:val="single" w:sz="8" w:color="auto"/>
            </w:tcBorders>
            <w:vMerge w:val="restart"/>
          </w:tcPr>
          <w:p>
            <w:pPr>
              <w:ind w:left="980"/>
              <w:spacing w:after="0"/>
              <w:rPr>
                <w:sz w:val="20"/>
                <w:szCs w:val="20"/>
                <w:color w:val="auto"/>
              </w:rPr>
            </w:pPr>
            <w:r>
              <w:rPr>
                <w:rFonts w:ascii="Times New Roman" w:cs="Times New Roman" w:eastAsia="Times New Roman" w:hAnsi="Times New Roman"/>
                <w:sz w:val="24"/>
                <w:szCs w:val="24"/>
                <w:color w:val="auto"/>
              </w:rPr>
              <w:t>ADD 1358</w:t>
            </w:r>
          </w:p>
        </w:tc>
        <w:tc>
          <w:tcPr>
            <w:tcW w:w="0" w:type="dxa"/>
            <w:vAlign w:val="bottom"/>
          </w:tcPr>
          <w:p>
            <w:pPr>
              <w:spacing w:after="0"/>
              <w:rPr>
                <w:sz w:val="1"/>
                <w:szCs w:val="1"/>
                <w:color w:val="auto"/>
              </w:rPr>
            </w:pPr>
          </w:p>
        </w:tc>
      </w:tr>
      <w:tr>
        <w:trPr>
          <w:trHeight w:val="175"/>
        </w:trPr>
        <w:tc>
          <w:tcPr>
            <w:tcW w:w="6020" w:type="dxa"/>
            <w:vAlign w:val="bottom"/>
            <w:vMerge w:val="restart"/>
          </w:tcPr>
          <w:p>
            <w:pPr>
              <w:ind w:left="160"/>
              <w:spacing w:after="0"/>
              <w:rPr>
                <w:sz w:val="20"/>
                <w:szCs w:val="20"/>
                <w:color w:val="auto"/>
              </w:rPr>
            </w:pPr>
            <w:r>
              <w:rPr>
                <w:rFonts w:ascii="Times New Roman" w:cs="Times New Roman" w:eastAsia="Times New Roman" w:hAnsi="Times New Roman"/>
                <w:sz w:val="24"/>
                <w:szCs w:val="24"/>
                <w:b w:val="1"/>
                <w:bCs w:val="1"/>
                <w:color w:val="auto"/>
              </w:rPr>
              <w:t>Solution for Inhalation</w:t>
            </w:r>
          </w:p>
        </w:tc>
        <w:tc>
          <w:tcPr>
            <w:tcW w:w="40" w:type="dxa"/>
            <w:vAlign w:val="bottom"/>
            <w:tcBorders>
              <w:bottom w:val="single" w:sz="8" w:color="auto"/>
              <w:right w:val="single" w:sz="8" w:color="auto"/>
            </w:tcBorders>
          </w:tcPr>
          <w:p>
            <w:pPr>
              <w:spacing w:after="0"/>
              <w:rPr>
                <w:sz w:val="15"/>
                <w:szCs w:val="15"/>
                <w:color w:val="auto"/>
              </w:rPr>
            </w:pPr>
          </w:p>
        </w:tc>
        <w:tc>
          <w:tcPr>
            <w:tcW w:w="2740" w:type="dxa"/>
            <w:vAlign w:val="bottom"/>
            <w:tcBorders>
              <w:bottom w:val="single" w:sz="8" w:color="auto"/>
              <w:right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3"/>
        </w:trPr>
        <w:tc>
          <w:tcPr>
            <w:tcW w:w="6020" w:type="dxa"/>
            <w:vAlign w:val="bottom"/>
            <w:vMerge w:val="continue"/>
          </w:tcPr>
          <w:p>
            <w:pPr>
              <w:spacing w:after="0"/>
              <w:rPr>
                <w:sz w:val="10"/>
                <w:szCs w:val="10"/>
                <w:color w:val="auto"/>
              </w:rPr>
            </w:pPr>
          </w:p>
        </w:tc>
        <w:tc>
          <w:tcPr>
            <w:tcW w:w="40" w:type="dxa"/>
            <w:vAlign w:val="bottom"/>
            <w:tcBorders>
              <w:right w:val="single" w:sz="8" w:color="auto"/>
            </w:tcBorders>
            <w:shd w:val="clear" w:color="auto" w:fill="000000"/>
          </w:tcPr>
          <w:p>
            <w:pPr>
              <w:spacing w:after="0"/>
              <w:rPr>
                <w:sz w:val="10"/>
                <w:szCs w:val="10"/>
                <w:color w:val="auto"/>
              </w:rPr>
            </w:pPr>
          </w:p>
        </w:tc>
        <w:tc>
          <w:tcPr>
            <w:tcW w:w="2740" w:type="dxa"/>
            <w:vAlign w:val="bottom"/>
            <w:vMerge w:val="restart"/>
          </w:tcPr>
          <w:p>
            <w:pPr>
              <w:ind w:left="120"/>
              <w:spacing w:after="0"/>
              <w:rPr>
                <w:sz w:val="20"/>
                <w:szCs w:val="20"/>
                <w:color w:val="auto"/>
              </w:rPr>
            </w:pPr>
            <w:r>
              <w:rPr>
                <w:rFonts w:ascii="Times New Roman" w:cs="Times New Roman" w:eastAsia="Times New Roman" w:hAnsi="Times New Roman"/>
                <w:sz w:val="20"/>
                <w:szCs w:val="20"/>
                <w:color w:val="auto"/>
              </w:rPr>
              <w:t>Document Number</w:t>
            </w:r>
          </w:p>
        </w:tc>
        <w:tc>
          <w:tcPr>
            <w:tcW w:w="0" w:type="dxa"/>
            <w:vAlign w:val="bottom"/>
          </w:tcPr>
          <w:p>
            <w:pPr>
              <w:spacing w:after="0"/>
              <w:rPr>
                <w:sz w:val="1"/>
                <w:szCs w:val="1"/>
                <w:color w:val="auto"/>
              </w:rPr>
            </w:pPr>
          </w:p>
        </w:tc>
      </w:tr>
      <w:tr>
        <w:trPr>
          <w:trHeight w:val="236"/>
        </w:trPr>
        <w:tc>
          <w:tcPr>
            <w:tcW w:w="6020" w:type="dxa"/>
            <w:vAlign w:val="bottom"/>
          </w:tcPr>
          <w:p>
            <w:pPr>
              <w:spacing w:after="0"/>
              <w:rPr>
                <w:sz w:val="20"/>
                <w:szCs w:val="20"/>
                <w:color w:val="auto"/>
              </w:rPr>
            </w:pPr>
          </w:p>
        </w:tc>
        <w:tc>
          <w:tcPr>
            <w:tcW w:w="40" w:type="dxa"/>
            <w:vAlign w:val="bottom"/>
            <w:tcBorders>
              <w:right w:val="single" w:sz="8" w:color="auto"/>
            </w:tcBorders>
            <w:shd w:val="clear" w:color="auto" w:fill="000000"/>
          </w:tcPr>
          <w:p>
            <w:pPr>
              <w:spacing w:after="0"/>
              <w:rPr>
                <w:sz w:val="20"/>
                <w:szCs w:val="20"/>
                <w:color w:val="auto"/>
              </w:rPr>
            </w:pPr>
          </w:p>
        </w:tc>
        <w:tc>
          <w:tcPr>
            <w:tcW w:w="27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383"/>
        </w:trPr>
        <w:tc>
          <w:tcPr>
            <w:tcW w:w="6020" w:type="dxa"/>
            <w:vAlign w:val="bottom"/>
          </w:tcPr>
          <w:p>
            <w:pPr>
              <w:spacing w:after="0"/>
              <w:rPr>
                <w:sz w:val="24"/>
                <w:szCs w:val="24"/>
                <w:color w:val="auto"/>
              </w:rPr>
            </w:pPr>
          </w:p>
        </w:tc>
        <w:tc>
          <w:tcPr>
            <w:tcW w:w="40" w:type="dxa"/>
            <w:vAlign w:val="bottom"/>
            <w:tcBorders>
              <w:bottom w:val="single" w:sz="8" w:color="auto"/>
              <w:right w:val="single" w:sz="8" w:color="auto"/>
            </w:tcBorders>
            <w:shd w:val="clear" w:color="auto" w:fill="000000"/>
          </w:tcPr>
          <w:p>
            <w:pPr>
              <w:spacing w:after="0"/>
              <w:rPr>
                <w:sz w:val="24"/>
                <w:szCs w:val="24"/>
                <w:color w:val="auto"/>
              </w:rPr>
            </w:pPr>
          </w:p>
        </w:tc>
        <w:tc>
          <w:tcPr>
            <w:tcW w:w="2740" w:type="dxa"/>
            <w:vAlign w:val="bottom"/>
            <w:tcBorders>
              <w:bottom w:val="single" w:sz="8" w:color="auto"/>
            </w:tcBorders>
          </w:tcPr>
          <w:p>
            <w:pPr>
              <w:ind w:left="980"/>
              <w:spacing w:after="0"/>
              <w:rPr>
                <w:sz w:val="20"/>
                <w:szCs w:val="20"/>
                <w:color w:val="auto"/>
              </w:rPr>
            </w:pPr>
            <w:r>
              <w:rPr>
                <w:rFonts w:ascii="Times New Roman" w:cs="Times New Roman" w:eastAsia="Times New Roman" w:hAnsi="Times New Roman"/>
                <w:sz w:val="24"/>
                <w:szCs w:val="24"/>
                <w:color w:val="auto"/>
              </w:rPr>
              <w:t>U07-1380</w:t>
            </w:r>
          </w:p>
        </w:tc>
        <w:tc>
          <w:tcPr>
            <w:tcW w:w="0" w:type="dxa"/>
            <w:vAlign w:val="bottom"/>
          </w:tcPr>
          <w:p>
            <w:pPr>
              <w:spacing w:after="0"/>
              <w:rPr>
                <w:sz w:val="1"/>
                <w:szCs w:val="1"/>
                <w:color w:val="auto"/>
              </w:rPr>
            </w:pPr>
          </w:p>
        </w:tc>
      </w:tr>
      <w:tr>
        <w:trPr>
          <w:trHeight w:val="359"/>
        </w:trPr>
        <w:tc>
          <w:tcPr>
            <w:tcW w:w="6020" w:type="dxa"/>
            <w:vAlign w:val="bottom"/>
          </w:tcPr>
          <w:p>
            <w:pPr>
              <w:spacing w:after="0"/>
              <w:rPr>
                <w:sz w:val="24"/>
                <w:szCs w:val="24"/>
                <w:color w:val="auto"/>
              </w:rPr>
            </w:pPr>
          </w:p>
        </w:tc>
        <w:tc>
          <w:tcPr>
            <w:tcW w:w="40" w:type="dxa"/>
            <w:vAlign w:val="bottom"/>
            <w:tcBorders>
              <w:right w:val="single" w:sz="8" w:color="auto"/>
            </w:tcBorders>
            <w:shd w:val="clear" w:color="auto" w:fill="000000"/>
          </w:tcPr>
          <w:p>
            <w:pPr>
              <w:spacing w:after="0"/>
              <w:rPr>
                <w:sz w:val="24"/>
                <w:szCs w:val="24"/>
                <w:color w:val="auto"/>
              </w:rPr>
            </w:pPr>
          </w:p>
        </w:tc>
        <w:tc>
          <w:tcPr>
            <w:tcW w:w="274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Date</w:t>
            </w:r>
          </w:p>
        </w:tc>
        <w:tc>
          <w:tcPr>
            <w:tcW w:w="0" w:type="dxa"/>
            <w:vAlign w:val="bottom"/>
          </w:tcPr>
          <w:p>
            <w:pPr>
              <w:spacing w:after="0"/>
              <w:rPr>
                <w:sz w:val="1"/>
                <w:szCs w:val="1"/>
                <w:color w:val="auto"/>
              </w:rPr>
            </w:pPr>
          </w:p>
        </w:tc>
      </w:tr>
      <w:tr>
        <w:trPr>
          <w:trHeight w:val="382"/>
        </w:trPr>
        <w:tc>
          <w:tcPr>
            <w:tcW w:w="6020" w:type="dxa"/>
            <w:vAlign w:val="bottom"/>
          </w:tcPr>
          <w:p>
            <w:pPr>
              <w:spacing w:after="0"/>
              <w:rPr>
                <w:sz w:val="24"/>
                <w:szCs w:val="24"/>
                <w:color w:val="auto"/>
              </w:rPr>
            </w:pPr>
          </w:p>
        </w:tc>
        <w:tc>
          <w:tcPr>
            <w:tcW w:w="40" w:type="dxa"/>
            <w:vAlign w:val="bottom"/>
            <w:tcBorders>
              <w:bottom w:val="single" w:sz="8" w:color="auto"/>
              <w:right w:val="single" w:sz="8" w:color="auto"/>
            </w:tcBorders>
            <w:shd w:val="clear" w:color="auto" w:fill="000000"/>
          </w:tcPr>
          <w:p>
            <w:pPr>
              <w:spacing w:after="0"/>
              <w:rPr>
                <w:sz w:val="24"/>
                <w:szCs w:val="24"/>
                <w:color w:val="auto"/>
              </w:rPr>
            </w:pPr>
          </w:p>
        </w:tc>
        <w:tc>
          <w:tcPr>
            <w:tcW w:w="2740" w:type="dxa"/>
            <w:vAlign w:val="bottom"/>
            <w:tcBorders>
              <w:bottom w:val="single" w:sz="8" w:color="auto"/>
            </w:tcBorders>
          </w:tcPr>
          <w:p>
            <w:pPr>
              <w:ind w:left="980"/>
              <w:spacing w:after="0"/>
              <w:rPr>
                <w:sz w:val="20"/>
                <w:szCs w:val="20"/>
                <w:color w:val="auto"/>
              </w:rPr>
            </w:pPr>
            <w:r>
              <w:rPr>
                <w:rFonts w:ascii="Times New Roman" w:cs="Times New Roman" w:eastAsia="Times New Roman" w:hAnsi="Times New Roman"/>
                <w:sz w:val="24"/>
                <w:szCs w:val="24"/>
                <w:color w:val="auto"/>
              </w:rPr>
              <w:t>10 May 2007</w:t>
            </w:r>
          </w:p>
        </w:tc>
        <w:tc>
          <w:tcPr>
            <w:tcW w:w="0" w:type="dxa"/>
            <w:vAlign w:val="bottom"/>
          </w:tcPr>
          <w:p>
            <w:pPr>
              <w:spacing w:after="0"/>
              <w:rPr>
                <w:sz w:val="1"/>
                <w:szCs w:val="1"/>
                <w:color w:val="auto"/>
              </w:rPr>
            </w:pPr>
          </w:p>
        </w:tc>
      </w:tr>
      <w:tr>
        <w:trPr>
          <w:trHeight w:val="359"/>
        </w:trPr>
        <w:tc>
          <w:tcPr>
            <w:tcW w:w="6020" w:type="dxa"/>
            <w:vAlign w:val="bottom"/>
          </w:tcPr>
          <w:p>
            <w:pPr>
              <w:spacing w:after="0"/>
              <w:rPr>
                <w:sz w:val="24"/>
                <w:szCs w:val="24"/>
                <w:color w:val="auto"/>
              </w:rPr>
            </w:pPr>
          </w:p>
        </w:tc>
        <w:tc>
          <w:tcPr>
            <w:tcW w:w="40" w:type="dxa"/>
            <w:vAlign w:val="bottom"/>
            <w:tcBorders>
              <w:right w:val="single" w:sz="8" w:color="auto"/>
            </w:tcBorders>
            <w:shd w:val="clear" w:color="auto" w:fill="000000"/>
          </w:tcPr>
          <w:p>
            <w:pPr>
              <w:spacing w:after="0"/>
              <w:rPr>
                <w:sz w:val="24"/>
                <w:szCs w:val="24"/>
                <w:color w:val="auto"/>
              </w:rPr>
            </w:pPr>
          </w:p>
        </w:tc>
        <w:tc>
          <w:tcPr>
            <w:tcW w:w="274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Page</w:t>
            </w:r>
          </w:p>
        </w:tc>
        <w:tc>
          <w:tcPr>
            <w:tcW w:w="0" w:type="dxa"/>
            <w:vAlign w:val="bottom"/>
          </w:tcPr>
          <w:p>
            <w:pPr>
              <w:spacing w:after="0"/>
              <w:rPr>
                <w:sz w:val="1"/>
                <w:szCs w:val="1"/>
                <w:color w:val="auto"/>
              </w:rPr>
            </w:pPr>
          </w:p>
        </w:tc>
      </w:tr>
      <w:tr>
        <w:trPr>
          <w:trHeight w:val="407"/>
        </w:trPr>
        <w:tc>
          <w:tcPr>
            <w:tcW w:w="6020" w:type="dxa"/>
            <w:vAlign w:val="bottom"/>
            <w:tcBorders>
              <w:bottom w:val="single" w:sz="8" w:color="auto"/>
            </w:tcBorders>
          </w:tcPr>
          <w:p>
            <w:pPr>
              <w:spacing w:after="0"/>
              <w:rPr>
                <w:sz w:val="24"/>
                <w:szCs w:val="24"/>
                <w:color w:val="auto"/>
              </w:rPr>
            </w:pPr>
          </w:p>
        </w:tc>
        <w:tc>
          <w:tcPr>
            <w:tcW w:w="40" w:type="dxa"/>
            <w:vAlign w:val="bottom"/>
            <w:tcBorders>
              <w:bottom w:val="single" w:sz="8" w:color="auto"/>
              <w:right w:val="single" w:sz="8" w:color="auto"/>
            </w:tcBorders>
            <w:shd w:val="clear" w:color="auto" w:fill="000000"/>
          </w:tcPr>
          <w:p>
            <w:pPr>
              <w:spacing w:after="0"/>
              <w:rPr>
                <w:sz w:val="24"/>
                <w:szCs w:val="24"/>
                <w:color w:val="auto"/>
              </w:rPr>
            </w:pPr>
          </w:p>
        </w:tc>
        <w:tc>
          <w:tcPr>
            <w:tcW w:w="2740" w:type="dxa"/>
            <w:vAlign w:val="bottom"/>
            <w:tcBorders>
              <w:bottom w:val="single" w:sz="8" w:color="auto"/>
            </w:tcBorders>
          </w:tcPr>
          <w:p>
            <w:pPr>
              <w:ind w:left="980"/>
              <w:spacing w:after="0"/>
              <w:rPr>
                <w:sz w:val="20"/>
                <w:szCs w:val="20"/>
                <w:color w:val="auto"/>
              </w:rPr>
            </w:pPr>
            <w:r>
              <w:rPr>
                <w:rFonts w:ascii="Times New Roman" w:cs="Times New Roman" w:eastAsia="Times New Roman" w:hAnsi="Times New Roman"/>
                <w:sz w:val="24"/>
                <w:szCs w:val="24"/>
                <w:color w:val="auto"/>
              </w:rPr>
              <w:t>1 of 6</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5746750</wp:posOffset>
                </wp:positionH>
                <wp:positionV relativeFrom="paragraph">
                  <wp:posOffset>-1475105</wp:posOffset>
                </wp:positionV>
                <wp:extent cx="0" cy="197929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792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116.1499pt" to="452.5pt,39.7pt" o:allowincell="f" strokecolor="#000000" strokeweight="0.72pt"/>
            </w:pict>
          </mc:Fallback>
        </mc:AlternateContent>
      </w:r>
    </w:p>
    <w:p>
      <w:pPr>
        <w:spacing w:after="0" w:line="24"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18"/>
          <w:szCs w:val="18"/>
          <w:b w:val="1"/>
          <w:bCs w:val="1"/>
          <w:color w:val="auto"/>
        </w:rPr>
        <w:t>Proprietary confidential information</w:t>
      </w:r>
    </w:p>
    <w:p>
      <w:pPr>
        <w:spacing w:after="0" w:line="25"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18"/>
          <w:szCs w:val="18"/>
          <w:b w:val="1"/>
          <w:bCs w:val="1"/>
          <w:color w:val="auto"/>
        </w:rPr>
        <w:t>© 2007 Boehringer Ingelheim International GmbH or one or more of its affiliated companies</w:t>
      </w:r>
    </w:p>
    <w:p>
      <w:pPr>
        <w:spacing w:after="0" w:line="98" w:lineRule="exact"/>
        <w:rPr>
          <w:sz w:val="24"/>
          <w:szCs w:val="24"/>
          <w:color w:val="auto"/>
        </w:rPr>
      </w:pPr>
    </w:p>
    <w:p>
      <w:pPr>
        <w:ind w:left="500"/>
        <w:spacing w:after="0"/>
        <w:rPr>
          <w:sz w:val="20"/>
          <w:szCs w:val="20"/>
          <w:color w:val="auto"/>
        </w:rPr>
      </w:pPr>
      <w:r>
        <w:rPr>
          <w:rFonts w:ascii="Times New Roman" w:cs="Times New Roman" w:eastAsia="Times New Roman" w:hAnsi="Times New Roman"/>
          <w:sz w:val="16"/>
          <w:szCs w:val="16"/>
          <w:color w:val="auto"/>
        </w:rPr>
        <w:t>This document may not - in full or in part - be passed on, reproduced, published or otherwise used without prior written permission!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168275</wp:posOffset>
                </wp:positionH>
                <wp:positionV relativeFrom="paragraph">
                  <wp:posOffset>14605</wp:posOffset>
                </wp:positionV>
                <wp:extent cx="558292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8292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5pt,1.15pt" to="452.85pt,1.15pt" o:allowincell="f" strokecolor="#000000" strokeweight="0.72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77"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ACRONYMS, SYNONYMS AND ABBREVIATIONS</w:t>
      </w:r>
    </w:p>
    <w:p>
      <w:pPr>
        <w:sectPr>
          <w:pgSz w:w="11900" w:h="16840" w:orient="portrait"/>
          <w:cols w:equalWidth="0" w:num="1">
            <w:col w:w="9060"/>
          </w:cols>
          <w:pgMar w:left="1440" w:top="1440" w:right="1400" w:bottom="0" w:gutter="0" w:footer="0" w:header="0"/>
        </w:sectPr>
      </w:pPr>
    </w:p>
    <w:p>
      <w:pPr>
        <w:spacing w:after="0" w:line="245" w:lineRule="exact"/>
        <w:rPr>
          <w:sz w:val="24"/>
          <w:szCs w:val="24"/>
          <w:color w:val="auto"/>
        </w:rPr>
      </w:pPr>
    </w:p>
    <w:p>
      <w:pPr>
        <w:ind w:left="340"/>
        <w:spacing w:after="0"/>
        <w:rPr>
          <w:sz w:val="20"/>
          <w:szCs w:val="20"/>
          <w:color w:val="auto"/>
        </w:rPr>
      </w:pPr>
      <w:r>
        <w:rPr>
          <w:rFonts w:ascii="Times New Roman" w:cs="Times New Roman" w:eastAsia="Times New Roman" w:hAnsi="Times New Roman"/>
          <w:sz w:val="24"/>
          <w:szCs w:val="24"/>
          <w:color w:val="auto"/>
        </w:rPr>
        <w:t>ACI</w:t>
      </w:r>
    </w:p>
    <w:p>
      <w:pPr>
        <w:spacing w:after="0" w:line="26" w:lineRule="exact"/>
        <w:rPr>
          <w:sz w:val="24"/>
          <w:szCs w:val="24"/>
          <w:color w:val="auto"/>
        </w:rPr>
      </w:pPr>
    </w:p>
    <w:p>
      <w:pPr>
        <w:ind w:left="340"/>
        <w:spacing w:after="0"/>
        <w:rPr>
          <w:sz w:val="20"/>
          <w:szCs w:val="20"/>
          <w:color w:val="auto"/>
        </w:rPr>
      </w:pPr>
      <w:r>
        <w:rPr>
          <w:rFonts w:ascii="Times New Roman" w:cs="Times New Roman" w:eastAsia="Times New Roman" w:hAnsi="Times New Roman"/>
          <w:sz w:val="24"/>
          <w:szCs w:val="24"/>
          <w:color w:val="auto"/>
        </w:rPr>
        <w:t>EMEA</w:t>
      </w:r>
    </w:p>
    <w:p>
      <w:pPr>
        <w:ind w:left="340"/>
        <w:spacing w:after="0"/>
        <w:rPr>
          <w:sz w:val="20"/>
          <w:szCs w:val="20"/>
          <w:color w:val="auto"/>
        </w:rPr>
      </w:pPr>
      <w:r>
        <w:rPr>
          <w:rFonts w:ascii="Times New Roman" w:cs="Times New Roman" w:eastAsia="Times New Roman" w:hAnsi="Times New Roman"/>
          <w:sz w:val="24"/>
          <w:szCs w:val="24"/>
          <w:color w:val="auto"/>
        </w:rPr>
        <w:t>ICH</w:t>
      </w:r>
    </w:p>
    <w:p>
      <w:pPr>
        <w:spacing w:after="0" w:line="250" w:lineRule="exact"/>
        <w:rPr>
          <w:sz w:val="24"/>
          <w:szCs w:val="24"/>
          <w:color w:val="auto"/>
        </w:rPr>
      </w:pPr>
    </w:p>
    <w:p>
      <w:pPr>
        <w:ind w:left="340"/>
        <w:spacing w:after="0"/>
        <w:rPr>
          <w:sz w:val="20"/>
          <w:szCs w:val="20"/>
          <w:color w:val="auto"/>
        </w:rPr>
      </w:pPr>
      <w:r>
        <w:rPr>
          <w:rFonts w:ascii="Times New Roman" w:cs="Times New Roman" w:eastAsia="Times New Roman" w:hAnsi="Times New Roman"/>
          <w:sz w:val="24"/>
          <w:szCs w:val="24"/>
          <w:color w:val="auto"/>
        </w:rPr>
        <w:t>NMT</w:t>
      </w:r>
    </w:p>
    <w:p>
      <w:pPr>
        <w:spacing w:after="0" w:line="26" w:lineRule="exact"/>
        <w:rPr>
          <w:sz w:val="24"/>
          <w:szCs w:val="24"/>
          <w:color w:val="auto"/>
        </w:rPr>
      </w:pPr>
    </w:p>
    <w:p>
      <w:pPr>
        <w:ind w:left="340"/>
        <w:spacing w:after="0"/>
        <w:rPr>
          <w:sz w:val="20"/>
          <w:szCs w:val="20"/>
          <w:color w:val="auto"/>
        </w:rPr>
      </w:pPr>
      <w:r>
        <w:rPr>
          <w:rFonts w:ascii="Times New Roman" w:cs="Times New Roman" w:eastAsia="Times New Roman" w:hAnsi="Times New Roman"/>
          <w:sz w:val="23"/>
          <w:szCs w:val="23"/>
          <w:color w:val="auto"/>
        </w:rPr>
        <w:t>Ph. Eur.</w:t>
      </w:r>
    </w:p>
    <w:p>
      <w:pPr>
        <w:spacing w:after="0" w:line="20" w:lineRule="exact"/>
        <w:rPr>
          <w:sz w:val="24"/>
          <w:szCs w:val="24"/>
          <w:color w:val="auto"/>
        </w:rPr>
      </w:pPr>
      <w:r>
        <w:rPr>
          <w:sz w:val="24"/>
          <w:szCs w:val="24"/>
          <w:color w:val="auto"/>
        </w:rPr>
        <w:br w:type="column"/>
      </w:r>
    </w:p>
    <w:p>
      <w:pPr>
        <w:spacing w:after="0" w:line="22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Andersen cascade impactor</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European Medicines Agency</w:t>
      </w:r>
    </w:p>
    <w:p>
      <w:pPr>
        <w:spacing w:after="0"/>
        <w:rPr>
          <w:sz w:val="20"/>
          <w:szCs w:val="20"/>
          <w:color w:val="auto"/>
        </w:rPr>
      </w:pPr>
      <w:r>
        <w:rPr>
          <w:rFonts w:ascii="Times New Roman" w:cs="Times New Roman" w:eastAsia="Times New Roman" w:hAnsi="Times New Roman"/>
          <w:sz w:val="23"/>
          <w:szCs w:val="23"/>
          <w:color w:val="auto"/>
        </w:rPr>
        <w:t>International Conference on Harmonisation of Technical Requirement</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for Registration of Pharmaceuticals for Human Use</w:t>
      </w:r>
    </w:p>
    <w:p>
      <w:pPr>
        <w:spacing w:after="0"/>
        <w:rPr>
          <w:sz w:val="20"/>
          <w:szCs w:val="20"/>
          <w:color w:val="auto"/>
        </w:rPr>
      </w:pPr>
      <w:r>
        <w:rPr>
          <w:rFonts w:ascii="Times New Roman" w:cs="Times New Roman" w:eastAsia="Times New Roman" w:hAnsi="Times New Roman"/>
          <w:sz w:val="24"/>
          <w:szCs w:val="24"/>
          <w:color w:val="auto"/>
        </w:rPr>
        <w:t>Not more than</w:t>
      </w:r>
    </w:p>
    <w:p>
      <w:pPr>
        <w:spacing w:after="0"/>
        <w:rPr>
          <w:sz w:val="20"/>
          <w:szCs w:val="20"/>
          <w:color w:val="auto"/>
        </w:rPr>
      </w:pPr>
      <w:r>
        <w:rPr>
          <w:rFonts w:ascii="Times New Roman" w:cs="Times New Roman" w:eastAsia="Times New Roman" w:hAnsi="Times New Roman"/>
          <w:sz w:val="24"/>
          <w:szCs w:val="24"/>
          <w:color w:val="auto"/>
        </w:rPr>
        <w:t>European Pharmacopoeia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-1197610</wp:posOffset>
                </wp:positionH>
                <wp:positionV relativeFrom="paragraph">
                  <wp:posOffset>2945765</wp:posOffset>
                </wp:positionV>
                <wp:extent cx="582422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2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2999pt,231.95pt" to="364.3pt,231.95pt" o:allowincell="f" strokecolor="#000000" strokeweight="0.4799pt"/>
            </w:pict>
          </mc:Fallback>
        </mc:AlternateContent>
      </w:r>
    </w:p>
    <w:p>
      <w:pPr>
        <w:spacing w:after="0" w:line="200" w:lineRule="exact"/>
        <w:rPr>
          <w:sz w:val="24"/>
          <w:szCs w:val="24"/>
          <w:color w:val="auto"/>
        </w:rPr>
      </w:pPr>
    </w:p>
    <w:p>
      <w:pPr>
        <w:sectPr>
          <w:pgSz w:w="11900" w:h="16840" w:orient="portrait"/>
          <w:cols w:equalWidth="0" w:num="2">
            <w:col w:w="1320" w:space="720"/>
            <w:col w:w="7020"/>
          </w:cols>
          <w:pgMar w:left="1440" w:top="1440" w:right="1400"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4"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7"/>
          <w:szCs w:val="17"/>
          <w:b w:val="1"/>
          <w:bCs w:val="1"/>
          <w:color w:val="auto"/>
        </w:rPr>
        <w:t>Investigational Medicinal Product Documentation</w:t>
      </w:r>
    </w:p>
    <w:p>
      <w:pPr>
        <w:spacing w:after="0" w:line="1"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9060"/>
          </w:cols>
          <w:pgMar w:left="1440" w:top="1440" w:right="1400" w:bottom="0" w:gutter="0" w:footer="0" w:header="0"/>
          <w:type w:val="continuous"/>
        </w:sectPr>
      </w:pPr>
    </w:p>
    <w:bookmarkStart w:id="1" w:name="page2"/>
    <w:bookmarkEnd w:id="1"/>
    <w:p>
      <w:pPr>
        <w:ind w:left="340"/>
        <w:spacing w:after="0"/>
        <w:tabs>
          <w:tab w:leader="none" w:pos="5780" w:val="left"/>
          <w:tab w:leader="none" w:pos="7620" w:val="left"/>
        </w:tabs>
        <w:rPr>
          <w:sz w:val="20"/>
          <w:szCs w:val="20"/>
          <w:color w:val="auto"/>
        </w:rPr>
      </w:pPr>
      <w:r>
        <w:rPr>
          <w:rFonts w:ascii="Times New Roman" w:cs="Times New Roman" w:eastAsia="Times New Roman" w:hAnsi="Times New Roman"/>
          <w:sz w:val="24"/>
          <w:szCs w:val="24"/>
          <w:b w:val="1"/>
          <w:bCs w:val="1"/>
          <w:color w:val="auto"/>
        </w:rPr>
        <w:t>Justification of Specification for the Drug Product</w:t>
      </w:r>
      <w:r>
        <w:rPr>
          <w:sz w:val="20"/>
          <w:szCs w:val="20"/>
          <w:color w:val="auto"/>
        </w:rPr>
        <w:tab/>
      </w:r>
      <w:r>
        <w:rPr>
          <w:rFonts w:ascii="Times New Roman" w:cs="Times New Roman" w:eastAsia="Times New Roman" w:hAnsi="Times New Roman"/>
          <w:sz w:val="40"/>
          <w:szCs w:val="40"/>
          <w:color w:val="auto"/>
          <w:vertAlign w:val="subscript"/>
        </w:rPr>
        <w:t>Internal Number</w:t>
      </w:r>
      <w:r>
        <w:rPr>
          <w:sz w:val="20"/>
          <w:szCs w:val="20"/>
          <w:color w:val="auto"/>
        </w:rPr>
        <w:tab/>
      </w:r>
      <w:r>
        <w:rPr>
          <w:rFonts w:ascii="Times New Roman" w:cs="Times New Roman" w:eastAsia="Times New Roman" w:hAnsi="Times New Roman"/>
          <w:sz w:val="30"/>
          <w:szCs w:val="30"/>
          <w:color w:val="auto"/>
          <w:vertAlign w:val="subscript"/>
        </w:rPr>
        <w:t>Page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162560</wp:posOffset>
                </wp:positionH>
                <wp:positionV relativeFrom="paragraph">
                  <wp:posOffset>-196850</wp:posOffset>
                </wp:positionV>
                <wp:extent cx="0" cy="69405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0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5.4999pt" to="12.8pt,39.1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158115</wp:posOffset>
                </wp:positionH>
                <wp:positionV relativeFrom="paragraph">
                  <wp:posOffset>-192405</wp:posOffset>
                </wp:positionV>
                <wp:extent cx="55930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5.1499pt" to="452.85pt,-15.1499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5746750</wp:posOffset>
                </wp:positionH>
                <wp:positionV relativeFrom="paragraph">
                  <wp:posOffset>-196850</wp:posOffset>
                </wp:positionV>
                <wp:extent cx="0" cy="69405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0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15.4999pt" to="452.5pt,39.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3583305</wp:posOffset>
                </wp:positionH>
                <wp:positionV relativeFrom="paragraph">
                  <wp:posOffset>-196850</wp:posOffset>
                </wp:positionV>
                <wp:extent cx="0" cy="49149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14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2.15pt,-15.4999pt" to="282.15pt,23.2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4756785</wp:posOffset>
                </wp:positionH>
                <wp:positionV relativeFrom="paragraph">
                  <wp:posOffset>-196850</wp:posOffset>
                </wp:positionV>
                <wp:extent cx="0" cy="49149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14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4.55pt,-15.4999pt" to="374.55pt,23.2pt" o:allowincell="f" strokecolor="#000000" strokeweight="0.72pt"/>
            </w:pict>
          </mc:Fallback>
        </mc:AlternateContent>
      </w:r>
    </w:p>
    <w:p>
      <w:pPr>
        <w:spacing w:after="0" w:line="135" w:lineRule="exact"/>
        <w:rPr>
          <w:sz w:val="20"/>
          <w:szCs w:val="20"/>
          <w:color w:val="auto"/>
        </w:rPr>
      </w:pPr>
    </w:p>
    <w:p>
      <w:pPr>
        <w:ind w:left="5800"/>
        <w:spacing w:after="0"/>
        <w:tabs>
          <w:tab w:leader="none" w:pos="7620" w:val="left"/>
        </w:tabs>
        <w:rPr>
          <w:sz w:val="20"/>
          <w:szCs w:val="20"/>
          <w:color w:val="auto"/>
        </w:rPr>
      </w:pPr>
      <w:r>
        <w:rPr>
          <w:rFonts w:ascii="Times New Roman" w:cs="Times New Roman" w:eastAsia="Times New Roman" w:hAnsi="Times New Roman"/>
          <w:sz w:val="24"/>
          <w:szCs w:val="24"/>
          <w:color w:val="auto"/>
        </w:rPr>
        <w:t>ADD 1358</w:t>
      </w:r>
      <w:r>
        <w:rPr>
          <w:sz w:val="20"/>
          <w:szCs w:val="20"/>
          <w:color w:val="auto"/>
        </w:rPr>
        <w:tab/>
      </w:r>
      <w:r>
        <w:rPr>
          <w:rFonts w:ascii="Times New Roman" w:cs="Times New Roman" w:eastAsia="Times New Roman" w:hAnsi="Times New Roman"/>
          <w:sz w:val="23"/>
          <w:szCs w:val="23"/>
          <w:color w:val="auto"/>
        </w:rPr>
        <w:t>2 of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wp:posOffset>
                </wp:positionH>
                <wp:positionV relativeFrom="paragraph">
                  <wp:posOffset>16510</wp:posOffset>
                </wp:positionV>
                <wp:extent cx="55930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3pt" to="452.85pt,1.3pt" o:allowincell="f" strokecolor="#000000" strokeweight="0.72pt"/>
            </w:pict>
          </mc:Fallback>
        </mc:AlternateContent>
      </w:r>
    </w:p>
    <w:p>
      <w:pPr>
        <w:spacing w:after="0" w:line="12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wp:posOffset>
                </wp:positionH>
                <wp:positionV relativeFrom="paragraph">
                  <wp:posOffset>13335</wp:posOffset>
                </wp:positionV>
                <wp:extent cx="55930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05pt" to="452.85pt,1.05pt" o:allowincell="f" strokecolor="#000000" strokeweight="0.7199pt"/>
            </w:pict>
          </mc:Fallback>
        </mc:AlternateContent>
      </w:r>
    </w:p>
    <w:p>
      <w:pPr>
        <w:spacing w:after="0" w:line="200" w:lineRule="exact"/>
        <w:rPr>
          <w:sz w:val="20"/>
          <w:szCs w:val="20"/>
          <w:color w:val="auto"/>
        </w:rPr>
      </w:pPr>
    </w:p>
    <w:p>
      <w:pPr>
        <w:spacing w:after="0" w:line="30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TABLE OF CONTENTS</w:t>
      </w:r>
    </w:p>
    <w:p>
      <w:pPr>
        <w:spacing w:after="0" w:line="361" w:lineRule="exact"/>
        <w:rPr>
          <w:sz w:val="20"/>
          <w:szCs w:val="20"/>
          <w:color w:val="auto"/>
        </w:rPr>
      </w:pPr>
    </w:p>
    <w:p>
      <w:pPr>
        <w:ind w:left="260"/>
        <w:spacing w:after="0"/>
        <w:tabs>
          <w:tab w:leader="dot" w:pos="8880" w:val="left"/>
        </w:tabs>
        <w:rPr>
          <w:rFonts w:ascii="Times New Roman" w:cs="Times New Roman" w:eastAsia="Times New Roman" w:hAnsi="Times New Roman"/>
          <w:sz w:val="23"/>
          <w:szCs w:val="23"/>
          <w:b w:val="1"/>
          <w:bCs w:val="1"/>
          <w:color w:val="auto"/>
        </w:rPr>
      </w:pPr>
      <w:hyperlink w:anchor="page1">
        <w:r>
          <w:rPr>
            <w:rFonts w:ascii="Times New Roman" w:cs="Times New Roman" w:eastAsia="Times New Roman" w:hAnsi="Times New Roman"/>
            <w:sz w:val="24"/>
            <w:szCs w:val="24"/>
            <w:b w:val="1"/>
            <w:bCs w:val="1"/>
            <w:color w:val="auto"/>
          </w:rPr>
          <w:t>ACRONYMS, SYNONYMS AND ABBREVIATIONS</w:t>
        </w:r>
      </w:hyperlink>
      <w:r>
        <w:rPr>
          <w:rFonts w:ascii="Times New Roman" w:cs="Times New Roman" w:eastAsia="Times New Roman" w:hAnsi="Times New Roman"/>
          <w:sz w:val="24"/>
          <w:szCs w:val="24"/>
          <w:b w:val="1"/>
          <w:bCs w:val="1"/>
          <w:color w:val="auto"/>
        </w:rPr>
        <w:tab/>
      </w:r>
      <w:hyperlink w:anchor="page1">
        <w:r>
          <w:rPr>
            <w:rFonts w:ascii="Times New Roman" w:cs="Times New Roman" w:eastAsia="Times New Roman" w:hAnsi="Times New Roman"/>
            <w:sz w:val="23"/>
            <w:szCs w:val="23"/>
            <w:b w:val="1"/>
            <w:bCs w:val="1"/>
            <w:color w:val="auto"/>
          </w:rPr>
          <w:t>1</w:t>
        </w:r>
      </w:hyperlink>
    </w:p>
    <w:p>
      <w:pPr>
        <w:spacing w:after="0" w:line="240" w:lineRule="exact"/>
        <w:rPr>
          <w:sz w:val="20"/>
          <w:szCs w:val="20"/>
          <w:color w:val="auto"/>
        </w:rPr>
      </w:pPr>
    </w:p>
    <w:p>
      <w:pPr>
        <w:ind w:left="260"/>
        <w:spacing w:after="0"/>
        <w:tabs>
          <w:tab w:leader="dot" w:pos="8880" w:val="left"/>
        </w:tabs>
        <w:rPr>
          <w:rFonts w:ascii="Times New Roman" w:cs="Times New Roman" w:eastAsia="Times New Roman" w:hAnsi="Times New Roman"/>
          <w:sz w:val="23"/>
          <w:szCs w:val="23"/>
          <w:b w:val="1"/>
          <w:bCs w:val="1"/>
          <w:color w:val="auto"/>
        </w:rPr>
      </w:pPr>
      <w:hyperlink w:anchor="page2">
        <w:r>
          <w:rPr>
            <w:rFonts w:ascii="Times New Roman" w:cs="Times New Roman" w:eastAsia="Times New Roman" w:hAnsi="Times New Roman"/>
            <w:sz w:val="24"/>
            <w:szCs w:val="24"/>
            <w:b w:val="1"/>
            <w:bCs w:val="1"/>
            <w:color w:val="auto"/>
          </w:rPr>
          <w:t>TABLE OF CONTENTS</w:t>
        </w:r>
      </w:hyperlink>
      <w:r>
        <w:rPr>
          <w:rFonts w:ascii="Times New Roman" w:cs="Times New Roman" w:eastAsia="Times New Roman" w:hAnsi="Times New Roman"/>
          <w:sz w:val="24"/>
          <w:szCs w:val="24"/>
          <w:b w:val="1"/>
          <w:bCs w:val="1"/>
          <w:color w:val="auto"/>
        </w:rPr>
        <w:tab/>
      </w:r>
      <w:hyperlink w:anchor="page2">
        <w:r>
          <w:rPr>
            <w:rFonts w:ascii="Times New Roman" w:cs="Times New Roman" w:eastAsia="Times New Roman" w:hAnsi="Times New Roman"/>
            <w:sz w:val="23"/>
            <w:szCs w:val="23"/>
            <w:b w:val="1"/>
            <w:bCs w:val="1"/>
            <w:color w:val="auto"/>
          </w:rPr>
          <w:t>2</w:t>
        </w:r>
      </w:hyperlink>
    </w:p>
    <w:p>
      <w:pPr>
        <w:spacing w:after="0" w:line="240" w:lineRule="exact"/>
        <w:rPr>
          <w:sz w:val="20"/>
          <w:szCs w:val="20"/>
          <w:color w:val="auto"/>
        </w:rPr>
      </w:pPr>
    </w:p>
    <w:p>
      <w:pPr>
        <w:ind w:left="260"/>
        <w:spacing w:after="0"/>
        <w:tabs>
          <w:tab w:leader="none" w:pos="1040" w:val="left"/>
          <w:tab w:leader="dot" w:pos="888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b w:val="1"/>
          <w:bCs w:val="1"/>
          <w:color w:val="auto"/>
        </w:rPr>
        <w:t>1.</w:t>
      </w:r>
      <w:r>
        <w:rPr>
          <w:sz w:val="20"/>
          <w:szCs w:val="20"/>
          <w:color w:val="auto"/>
        </w:rPr>
        <w:tab/>
      </w:r>
      <w:hyperlink w:anchor="page3">
        <w:r>
          <w:rPr>
            <w:rFonts w:ascii="Times New Roman" w:cs="Times New Roman" w:eastAsia="Times New Roman" w:hAnsi="Times New Roman"/>
            <w:sz w:val="24"/>
            <w:szCs w:val="24"/>
            <w:b w:val="1"/>
            <w:bCs w:val="1"/>
            <w:color w:val="auto"/>
          </w:rPr>
          <w:t>INTRODUCTION</w:t>
        </w:r>
      </w:hyperlink>
      <w:r>
        <w:rPr>
          <w:rFonts w:ascii="Times New Roman" w:cs="Times New Roman" w:eastAsia="Times New Roman" w:hAnsi="Times New Roman"/>
          <w:sz w:val="24"/>
          <w:szCs w:val="24"/>
          <w:b w:val="1"/>
          <w:bCs w:val="1"/>
          <w:color w:val="auto"/>
        </w:rPr>
        <w:tab/>
      </w:r>
      <w:hyperlink w:anchor="page3">
        <w:r>
          <w:rPr>
            <w:rFonts w:ascii="Times New Roman" w:cs="Times New Roman" w:eastAsia="Times New Roman" w:hAnsi="Times New Roman"/>
            <w:sz w:val="23"/>
            <w:szCs w:val="23"/>
            <w:b w:val="1"/>
            <w:bCs w:val="1"/>
            <w:color w:val="auto"/>
          </w:rPr>
          <w:t>3</w:t>
        </w:r>
      </w:hyperlink>
    </w:p>
    <w:p>
      <w:pPr>
        <w:spacing w:after="0" w:line="240" w:lineRule="exact"/>
        <w:rPr>
          <w:sz w:val="20"/>
          <w:szCs w:val="20"/>
          <w:color w:val="auto"/>
        </w:rPr>
      </w:pPr>
    </w:p>
    <w:p>
      <w:pPr>
        <w:ind w:left="260"/>
        <w:spacing w:after="0"/>
        <w:tabs>
          <w:tab w:leader="none" w:pos="1040" w:val="left"/>
          <w:tab w:leader="dot" w:pos="8880" w:val="left"/>
        </w:tabs>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b w:val="1"/>
          <w:bCs w:val="1"/>
          <w:color w:val="auto"/>
        </w:rPr>
        <w:t>2.</w:t>
      </w:r>
      <w:r>
        <w:rPr>
          <w:sz w:val="20"/>
          <w:szCs w:val="20"/>
          <w:color w:val="auto"/>
        </w:rPr>
        <w:tab/>
      </w:r>
      <w:hyperlink w:anchor="page4">
        <w:r>
          <w:rPr>
            <w:rFonts w:ascii="Times New Roman" w:cs="Times New Roman" w:eastAsia="Times New Roman" w:hAnsi="Times New Roman"/>
            <w:sz w:val="24"/>
            <w:szCs w:val="24"/>
            <w:b w:val="1"/>
            <w:bCs w:val="1"/>
            <w:color w:val="auto"/>
          </w:rPr>
          <w:t>JUSTIFICATION OF SPECIFICATIONS</w:t>
        </w:r>
      </w:hyperlink>
      <w:r>
        <w:rPr>
          <w:rFonts w:ascii="Times New Roman" w:cs="Times New Roman" w:eastAsia="Times New Roman" w:hAnsi="Times New Roman"/>
          <w:sz w:val="24"/>
          <w:szCs w:val="24"/>
          <w:b w:val="1"/>
          <w:bCs w:val="1"/>
          <w:color w:val="auto"/>
        </w:rPr>
        <w:tab/>
      </w:r>
      <w:hyperlink w:anchor="page4">
        <w:r>
          <w:rPr>
            <w:rFonts w:ascii="Times New Roman" w:cs="Times New Roman" w:eastAsia="Times New Roman" w:hAnsi="Times New Roman"/>
            <w:sz w:val="23"/>
            <w:szCs w:val="23"/>
            <w:b w:val="1"/>
            <w:bCs w:val="1"/>
            <w:color w:val="auto"/>
          </w:rPr>
          <w:t>4</w:t>
        </w:r>
      </w:hyperlink>
    </w:p>
    <w:p>
      <w:pPr>
        <w:spacing w:after="0" w:line="120" w:lineRule="exact"/>
        <w:rPr>
          <w:sz w:val="20"/>
          <w:szCs w:val="20"/>
          <w:color w:val="auto"/>
        </w:rPr>
      </w:pPr>
    </w:p>
    <w:p>
      <w:pPr>
        <w:ind w:left="260"/>
        <w:spacing w:after="0"/>
        <w:tabs>
          <w:tab w:leader="none" w:pos="1040" w:val="left"/>
          <w:tab w:leader="dot" w:pos="8880" w:val="left"/>
        </w:tabs>
        <w:rPr>
          <w:rFonts w:ascii="Times New Roman" w:cs="Times New Roman" w:eastAsia="Times New Roman" w:hAnsi="Times New Roman"/>
          <w:sz w:val="23"/>
          <w:szCs w:val="23"/>
          <w:b w:val="1"/>
          <w:bCs w:val="1"/>
          <w:color w:val="auto"/>
        </w:rPr>
      </w:pPr>
      <w:hyperlink w:anchor="page4">
        <w:r>
          <w:rPr>
            <w:rFonts w:ascii="Times New Roman" w:cs="Times New Roman" w:eastAsia="Times New Roman" w:hAnsi="Times New Roman"/>
            <w:sz w:val="24"/>
            <w:szCs w:val="24"/>
            <w:b w:val="1"/>
            <w:bCs w:val="1"/>
            <w:color w:val="auto"/>
          </w:rPr>
          <w:t>2.1</w:t>
        </w:r>
      </w:hyperlink>
      <w:r>
        <w:rPr>
          <w:rFonts w:ascii="Times New Roman" w:cs="Times New Roman" w:eastAsia="Times New Roman" w:hAnsi="Times New Roman"/>
          <w:sz w:val="24"/>
          <w:szCs w:val="24"/>
          <w:b w:val="1"/>
          <w:bCs w:val="1"/>
          <w:color w:val="auto"/>
        </w:rPr>
        <w:tab/>
      </w:r>
      <w:hyperlink w:anchor="page4">
        <w:r>
          <w:rPr>
            <w:rFonts w:ascii="Times New Roman" w:cs="Times New Roman" w:eastAsia="Times New Roman" w:hAnsi="Times New Roman"/>
            <w:sz w:val="24"/>
            <w:szCs w:val="24"/>
            <w:b w:val="1"/>
            <w:bCs w:val="1"/>
            <w:color w:val="auto"/>
          </w:rPr>
          <w:t>ACTIVE INGREDIENT DEGRADATION</w:t>
        </w:r>
      </w:hyperlink>
      <w:r>
        <w:rPr>
          <w:rFonts w:ascii="Times New Roman" w:cs="Times New Roman" w:eastAsia="Times New Roman" w:hAnsi="Times New Roman"/>
          <w:sz w:val="24"/>
          <w:szCs w:val="24"/>
          <w:b w:val="1"/>
          <w:bCs w:val="1"/>
          <w:color w:val="auto"/>
        </w:rPr>
        <w:tab/>
      </w:r>
      <w:hyperlink w:anchor="page4">
        <w:r>
          <w:rPr>
            <w:rFonts w:ascii="Times New Roman" w:cs="Times New Roman" w:eastAsia="Times New Roman" w:hAnsi="Times New Roman"/>
            <w:sz w:val="23"/>
            <w:szCs w:val="23"/>
            <w:b w:val="1"/>
            <w:bCs w:val="1"/>
            <w:color w:val="auto"/>
          </w:rPr>
          <w:t>4</w:t>
        </w:r>
      </w:hyperlink>
    </w:p>
    <w:p>
      <w:pPr>
        <w:spacing w:after="0" w:line="32" w:lineRule="exact"/>
        <w:rPr>
          <w:rFonts w:ascii="Times New Roman" w:cs="Times New Roman" w:eastAsia="Times New Roman" w:hAnsi="Times New Roman"/>
          <w:sz w:val="24"/>
          <w:szCs w:val="24"/>
          <w:b w:val="1"/>
          <w:bCs w:val="1"/>
          <w:color w:val="auto"/>
        </w:rPr>
      </w:pPr>
    </w:p>
    <w:p>
      <w:pPr>
        <w:ind w:left="260"/>
        <w:spacing w:after="0"/>
        <w:tabs>
          <w:tab w:leader="none" w:pos="1040" w:val="left"/>
          <w:tab w:leader="dot" w:pos="8880" w:val="left"/>
        </w:tabs>
        <w:rPr>
          <w:rFonts w:ascii="Times New Roman" w:cs="Times New Roman" w:eastAsia="Times New Roman" w:hAnsi="Times New Roman"/>
          <w:sz w:val="23"/>
          <w:szCs w:val="23"/>
          <w:b w:val="1"/>
          <w:bCs w:val="1"/>
          <w:color w:val="auto"/>
        </w:rPr>
      </w:pPr>
      <w:hyperlink w:anchor="page5">
        <w:r>
          <w:rPr>
            <w:rFonts w:ascii="Times New Roman" w:cs="Times New Roman" w:eastAsia="Times New Roman" w:hAnsi="Times New Roman"/>
            <w:sz w:val="24"/>
            <w:szCs w:val="24"/>
            <w:b w:val="1"/>
            <w:bCs w:val="1"/>
            <w:color w:val="auto"/>
          </w:rPr>
          <w:t>2.2</w:t>
        </w:r>
      </w:hyperlink>
      <w:r>
        <w:rPr>
          <w:rFonts w:ascii="Times New Roman" w:cs="Times New Roman" w:eastAsia="Times New Roman" w:hAnsi="Times New Roman"/>
          <w:sz w:val="24"/>
          <w:szCs w:val="24"/>
          <w:b w:val="1"/>
          <w:bCs w:val="1"/>
          <w:color w:val="auto"/>
        </w:rPr>
        <w:tab/>
      </w:r>
      <w:hyperlink w:anchor="page5">
        <w:r>
          <w:rPr>
            <w:rFonts w:ascii="Times New Roman" w:cs="Times New Roman" w:eastAsia="Times New Roman" w:hAnsi="Times New Roman"/>
            <w:sz w:val="24"/>
            <w:szCs w:val="24"/>
            <w:b w:val="1"/>
            <w:bCs w:val="1"/>
            <w:color w:val="auto"/>
          </w:rPr>
          <w:t>ASSAY</w:t>
        </w:r>
      </w:hyperlink>
      <w:r>
        <w:rPr>
          <w:rFonts w:ascii="Times New Roman" w:cs="Times New Roman" w:eastAsia="Times New Roman" w:hAnsi="Times New Roman"/>
          <w:sz w:val="24"/>
          <w:szCs w:val="24"/>
          <w:b w:val="1"/>
          <w:bCs w:val="1"/>
          <w:color w:val="auto"/>
        </w:rPr>
        <w:tab/>
      </w:r>
      <w:hyperlink w:anchor="page5">
        <w:r>
          <w:rPr>
            <w:rFonts w:ascii="Times New Roman" w:cs="Times New Roman" w:eastAsia="Times New Roman" w:hAnsi="Times New Roman"/>
            <w:sz w:val="23"/>
            <w:szCs w:val="23"/>
            <w:b w:val="1"/>
            <w:bCs w:val="1"/>
            <w:color w:val="auto"/>
          </w:rPr>
          <w:t>5</w:t>
        </w:r>
      </w:hyperlink>
    </w:p>
    <w:p>
      <w:pPr>
        <w:ind w:left="260"/>
        <w:spacing w:after="0"/>
        <w:tabs>
          <w:tab w:leader="none" w:pos="1040" w:val="left"/>
          <w:tab w:leader="dot" w:pos="8880" w:val="left"/>
        </w:tabs>
        <w:rPr>
          <w:rFonts w:ascii="Times New Roman" w:cs="Times New Roman" w:eastAsia="Times New Roman" w:hAnsi="Times New Roman"/>
          <w:sz w:val="23"/>
          <w:szCs w:val="23"/>
          <w:b w:val="1"/>
          <w:bCs w:val="1"/>
          <w:color w:val="auto"/>
        </w:rPr>
      </w:pPr>
      <w:hyperlink w:anchor="page6">
        <w:r>
          <w:rPr>
            <w:rFonts w:ascii="Times New Roman" w:cs="Times New Roman" w:eastAsia="Times New Roman" w:hAnsi="Times New Roman"/>
            <w:sz w:val="24"/>
            <w:szCs w:val="24"/>
            <w:b w:val="1"/>
            <w:bCs w:val="1"/>
            <w:color w:val="auto"/>
          </w:rPr>
          <w:t>2.3</w:t>
        </w:r>
      </w:hyperlink>
      <w:r>
        <w:rPr>
          <w:rFonts w:ascii="Times New Roman" w:cs="Times New Roman" w:eastAsia="Times New Roman" w:hAnsi="Times New Roman"/>
          <w:sz w:val="24"/>
          <w:szCs w:val="24"/>
          <w:b w:val="1"/>
          <w:bCs w:val="1"/>
          <w:color w:val="auto"/>
        </w:rPr>
        <w:tab/>
      </w:r>
      <w:hyperlink w:anchor="page6">
        <w:r>
          <w:rPr>
            <w:rFonts w:ascii="Times New Roman" w:cs="Times New Roman" w:eastAsia="Times New Roman" w:hAnsi="Times New Roman"/>
            <w:sz w:val="24"/>
            <w:szCs w:val="24"/>
            <w:b w:val="1"/>
            <w:bCs w:val="1"/>
            <w:color w:val="auto"/>
          </w:rPr>
          <w:t>MICROBIOLOGICAL PURITY</w:t>
        </w:r>
      </w:hyperlink>
      <w:r>
        <w:rPr>
          <w:rFonts w:ascii="Times New Roman" w:cs="Times New Roman" w:eastAsia="Times New Roman" w:hAnsi="Times New Roman"/>
          <w:sz w:val="24"/>
          <w:szCs w:val="24"/>
          <w:b w:val="1"/>
          <w:bCs w:val="1"/>
          <w:color w:val="auto"/>
        </w:rPr>
        <w:tab/>
      </w:r>
      <w:hyperlink w:anchor="page6">
        <w:r>
          <w:rPr>
            <w:rFonts w:ascii="Times New Roman" w:cs="Times New Roman" w:eastAsia="Times New Roman" w:hAnsi="Times New Roman"/>
            <w:sz w:val="23"/>
            <w:szCs w:val="23"/>
            <w:b w:val="1"/>
            <w:bCs w:val="1"/>
            <w:color w:val="auto"/>
          </w:rPr>
          <w:t>6</w:t>
        </w:r>
      </w:hyperlink>
    </w:p>
    <w:p>
      <w:pPr>
        <w:ind w:left="260"/>
        <w:spacing w:after="0"/>
        <w:tabs>
          <w:tab w:leader="none" w:pos="1040" w:val="left"/>
        </w:tabs>
        <w:rPr>
          <w:rFonts w:ascii="Times New Roman" w:cs="Times New Roman" w:eastAsia="Times New Roman" w:hAnsi="Times New Roman"/>
          <w:sz w:val="23"/>
          <w:szCs w:val="23"/>
          <w:b w:val="1"/>
          <w:bCs w:val="1"/>
          <w:color w:val="auto"/>
        </w:rPr>
      </w:pPr>
      <w:hyperlink w:anchor="page6">
        <w:r>
          <w:rPr>
            <w:rFonts w:ascii="Times New Roman" w:cs="Times New Roman" w:eastAsia="Times New Roman" w:hAnsi="Times New Roman"/>
            <w:sz w:val="24"/>
            <w:szCs w:val="24"/>
            <w:b w:val="1"/>
            <w:bCs w:val="1"/>
            <w:color w:val="auto"/>
          </w:rPr>
          <w:t>2.4</w:t>
        </w:r>
      </w:hyperlink>
      <w:r>
        <w:rPr>
          <w:rFonts w:ascii="Times New Roman" w:cs="Times New Roman" w:eastAsia="Times New Roman" w:hAnsi="Times New Roman"/>
          <w:sz w:val="24"/>
          <w:szCs w:val="24"/>
          <w:b w:val="1"/>
          <w:bCs w:val="1"/>
          <w:color w:val="auto"/>
        </w:rPr>
        <w:tab/>
      </w:r>
      <w:hyperlink w:anchor="page6">
        <w:r>
          <w:rPr>
            <w:rFonts w:ascii="Times New Roman" w:cs="Times New Roman" w:eastAsia="Times New Roman" w:hAnsi="Times New Roman"/>
            <w:sz w:val="23"/>
            <w:szCs w:val="23"/>
            <w:b w:val="1"/>
            <w:bCs w:val="1"/>
            <w:color w:val="auto"/>
          </w:rPr>
          <w:t>SPRAY CONTENT UNIFORMITY AND UNIFORMITY OF DELIVERED</w:t>
        </w:r>
      </w:hyperlink>
    </w:p>
    <w:p>
      <w:pPr>
        <w:ind w:left="1060"/>
        <w:spacing w:after="0"/>
        <w:tabs>
          <w:tab w:leader="dot" w:pos="8880" w:val="left"/>
        </w:tabs>
        <w:rPr>
          <w:rFonts w:ascii="Times New Roman" w:cs="Times New Roman" w:eastAsia="Times New Roman" w:hAnsi="Times New Roman"/>
          <w:sz w:val="23"/>
          <w:szCs w:val="23"/>
          <w:b w:val="1"/>
          <w:bCs w:val="1"/>
          <w:color w:val="auto"/>
        </w:rPr>
      </w:pPr>
      <w:hyperlink w:anchor="page6">
        <w:r>
          <w:rPr>
            <w:rFonts w:ascii="Times New Roman" w:cs="Times New Roman" w:eastAsia="Times New Roman" w:hAnsi="Times New Roman"/>
            <w:sz w:val="24"/>
            <w:szCs w:val="24"/>
            <w:b w:val="1"/>
            <w:bCs w:val="1"/>
            <w:color w:val="auto"/>
          </w:rPr>
          <w:t>DOSE</w:t>
        </w:r>
      </w:hyperlink>
      <w:r>
        <w:rPr>
          <w:rFonts w:ascii="Times New Roman" w:cs="Times New Roman" w:eastAsia="Times New Roman" w:hAnsi="Times New Roman"/>
          <w:sz w:val="24"/>
          <w:szCs w:val="24"/>
          <w:b w:val="1"/>
          <w:bCs w:val="1"/>
          <w:color w:val="auto"/>
        </w:rPr>
        <w:tab/>
      </w:r>
      <w:hyperlink w:anchor="page6">
        <w:r>
          <w:rPr>
            <w:rFonts w:ascii="Times New Roman" w:cs="Times New Roman" w:eastAsia="Times New Roman" w:hAnsi="Times New Roman"/>
            <w:sz w:val="23"/>
            <w:szCs w:val="23"/>
            <w:b w:val="1"/>
            <w:bCs w:val="1"/>
            <w:color w:val="auto"/>
          </w:rPr>
          <w:t>6</w:t>
        </w:r>
      </w:hyperlink>
    </w:p>
    <w:p>
      <w:pPr>
        <w:ind w:left="260"/>
        <w:spacing w:after="0"/>
        <w:tabs>
          <w:tab w:leader="none" w:pos="1040" w:val="left"/>
          <w:tab w:leader="dot" w:pos="8880" w:val="left"/>
        </w:tabs>
        <w:rPr>
          <w:rFonts w:ascii="Times New Roman" w:cs="Times New Roman" w:eastAsia="Times New Roman" w:hAnsi="Times New Roman"/>
          <w:sz w:val="23"/>
          <w:szCs w:val="23"/>
          <w:b w:val="1"/>
          <w:bCs w:val="1"/>
          <w:color w:val="auto"/>
        </w:rPr>
      </w:pPr>
      <w:hyperlink w:anchor="page6">
        <w:r>
          <w:rPr>
            <w:rFonts w:ascii="Times New Roman" w:cs="Times New Roman" w:eastAsia="Times New Roman" w:hAnsi="Times New Roman"/>
            <w:sz w:val="24"/>
            <w:szCs w:val="24"/>
            <w:b w:val="1"/>
            <w:bCs w:val="1"/>
            <w:color w:val="auto"/>
          </w:rPr>
          <w:t>2.5</w:t>
        </w:r>
      </w:hyperlink>
      <w:r>
        <w:rPr>
          <w:rFonts w:ascii="Times New Roman" w:cs="Times New Roman" w:eastAsia="Times New Roman" w:hAnsi="Times New Roman"/>
          <w:sz w:val="24"/>
          <w:szCs w:val="24"/>
          <w:b w:val="1"/>
          <w:bCs w:val="1"/>
          <w:color w:val="auto"/>
        </w:rPr>
        <w:tab/>
      </w:r>
      <w:hyperlink w:anchor="page6">
        <w:r>
          <w:rPr>
            <w:rFonts w:ascii="Times New Roman" w:cs="Times New Roman" w:eastAsia="Times New Roman" w:hAnsi="Times New Roman"/>
            <w:sz w:val="24"/>
            <w:szCs w:val="24"/>
            <w:b w:val="1"/>
            <w:bCs w:val="1"/>
            <w:color w:val="auto"/>
          </w:rPr>
          <w:t>AERODYNAMIC FINE PARTICLE DOSE</w:t>
        </w:r>
      </w:hyperlink>
      <w:r>
        <w:rPr>
          <w:rFonts w:ascii="Times New Roman" w:cs="Times New Roman" w:eastAsia="Times New Roman" w:hAnsi="Times New Roman"/>
          <w:sz w:val="24"/>
          <w:szCs w:val="24"/>
          <w:b w:val="1"/>
          <w:bCs w:val="1"/>
          <w:color w:val="auto"/>
        </w:rPr>
        <w:tab/>
      </w:r>
      <w:hyperlink w:anchor="page6">
        <w:r>
          <w:rPr>
            <w:rFonts w:ascii="Times New Roman" w:cs="Times New Roman" w:eastAsia="Times New Roman" w:hAnsi="Times New Roman"/>
            <w:sz w:val="23"/>
            <w:szCs w:val="23"/>
            <w:b w:val="1"/>
            <w:bCs w:val="1"/>
            <w:color w:val="auto"/>
          </w:rPr>
          <w:t>6</w:t>
        </w:r>
      </w:hyperlink>
    </w:p>
    <w:p>
      <w:pPr>
        <w:spacing w:after="0" w:line="20" w:lineRule="exact"/>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mc:AlternateContent>
          <mc:Choice Requires="wps">
            <w:drawing>
              <wp:anchor simplePos="0" relativeHeight="251657728" behindDoc="1" locked="0" layoutInCell="0" allowOverlap="1">
                <wp:simplePos x="0" y="0"/>
                <wp:positionH relativeFrom="column">
                  <wp:posOffset>97155</wp:posOffset>
                </wp:positionH>
                <wp:positionV relativeFrom="paragraph">
                  <wp:posOffset>5863590</wp:posOffset>
                </wp:positionV>
                <wp:extent cx="58248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461.7pt" to="466.3pt,461.7pt" o:allowincell="f" strokecolor="#000000" strokeweight="0.4799pt"/>
            </w:pict>
          </mc:Fallback>
        </mc:AlternateContent>
      </w: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336" w:lineRule="exact"/>
        <w:rPr>
          <w:rFonts w:ascii="Times New Roman" w:cs="Times New Roman" w:eastAsia="Times New Roman" w:hAnsi="Times New Roman"/>
          <w:sz w:val="24"/>
          <w:szCs w:val="24"/>
          <w:b w:val="1"/>
          <w:bCs w:val="1"/>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6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9020"/>
          </w:cols>
          <w:pgMar w:left="1440" w:top="531" w:right="1440" w:bottom="0" w:gutter="0" w:footer="0" w:header="0"/>
        </w:sectPr>
      </w:pPr>
    </w:p>
    <w:bookmarkStart w:id="2" w:name="page3"/>
    <w:bookmarkEnd w:id="2"/>
    <w:tbl>
      <w:tblPr>
        <w:tblLayout w:type="fixed"/>
        <w:tblInd w:w="240" w:type="dxa"/>
        <w:tblCellMar>
          <w:top w:w="0" w:type="dxa"/>
          <w:left w:w="0" w:type="dxa"/>
          <w:bottom w:w="0" w:type="dxa"/>
          <w:right w:w="0" w:type="dxa"/>
        </w:tblCellMar>
      </w:tblPr>
      <w:tr>
        <w:trPr>
          <w:trHeight w:val="379"/>
        </w:trPr>
        <w:tc>
          <w:tcPr>
            <w:tcW w:w="54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Justification of Specification for the Drug Product</w:t>
            </w:r>
          </w:p>
        </w:tc>
        <w:tc>
          <w:tcPr>
            <w:tcW w:w="184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Internal Number</w:t>
            </w:r>
          </w:p>
        </w:tc>
        <w:tc>
          <w:tcPr>
            <w:tcW w:w="156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Page</w:t>
            </w:r>
          </w:p>
        </w:tc>
      </w:tr>
      <w:tr>
        <w:trPr>
          <w:trHeight w:val="382"/>
        </w:trPr>
        <w:tc>
          <w:tcPr>
            <w:tcW w:w="542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ADD 1358</w:t>
            </w:r>
          </w:p>
        </w:tc>
        <w:tc>
          <w:tcPr>
            <w:tcW w:w="1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3 of 6</w:t>
            </w:r>
          </w:p>
        </w:tc>
      </w:tr>
    </w:tbl>
    <w:p>
      <w:pPr>
        <w:spacing w:after="0" w:line="10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1076960</wp:posOffset>
                </wp:positionH>
                <wp:positionV relativeFrom="page">
                  <wp:posOffset>431800</wp:posOffset>
                </wp:positionV>
                <wp:extent cx="0" cy="69469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pt,34pt" to="84.8pt,88.7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6661150</wp:posOffset>
                </wp:positionH>
                <wp:positionV relativeFrom="page">
                  <wp:posOffset>431800</wp:posOffset>
                </wp:positionV>
                <wp:extent cx="0" cy="69469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34pt" to="524.5pt,88.7pt" o:allowincell="f" strokecolor="#000000" strokeweight="0.72pt">
                <w10:wrap anchorx="page" anchory="page"/>
              </v:line>
            </w:pict>
          </mc:Fallback>
        </mc:AlternateContent>
      </w:r>
    </w:p>
    <w:p>
      <w:pPr>
        <w:ind w:left="50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wp:posOffset>
                </wp:positionH>
                <wp:positionV relativeFrom="paragraph">
                  <wp:posOffset>13335</wp:posOffset>
                </wp:positionV>
                <wp:extent cx="55930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05pt" to="452.85pt,1.05pt" o:allowincell="f" strokecolor="#000000" strokeweight="0.7199pt"/>
            </w:pict>
          </mc:Fallback>
        </mc:AlternateContent>
      </w:r>
    </w:p>
    <w:p>
      <w:pPr>
        <w:spacing w:after="0" w:line="200" w:lineRule="exact"/>
        <w:rPr>
          <w:sz w:val="20"/>
          <w:szCs w:val="20"/>
          <w:color w:val="auto"/>
        </w:rPr>
      </w:pPr>
    </w:p>
    <w:p>
      <w:pPr>
        <w:spacing w:after="0" w:line="301" w:lineRule="exact"/>
        <w:rPr>
          <w:sz w:val="20"/>
          <w:szCs w:val="20"/>
          <w:color w:val="auto"/>
        </w:rPr>
      </w:pPr>
    </w:p>
    <w:p>
      <w:pPr>
        <w:ind w:left="1160" w:hanging="898"/>
        <w:spacing w:after="0"/>
        <w:tabs>
          <w:tab w:leader="none" w:pos="1160" w:val="left"/>
        </w:tabs>
        <w:numPr>
          <w:ilvl w:val="0"/>
          <w:numId w:val="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INTRODUCTION</w:t>
      </w:r>
    </w:p>
    <w:p>
      <w:pPr>
        <w:spacing w:after="0" w:line="200" w:lineRule="exact"/>
        <w:rPr>
          <w:sz w:val="20"/>
          <w:szCs w:val="20"/>
          <w:color w:val="auto"/>
        </w:rPr>
      </w:pPr>
    </w:p>
    <w:p>
      <w:pPr>
        <w:spacing w:after="0" w:line="224" w:lineRule="exact"/>
        <w:rPr>
          <w:sz w:val="20"/>
          <w:szCs w:val="20"/>
          <w:color w:val="auto"/>
        </w:rPr>
      </w:pPr>
    </w:p>
    <w:p>
      <w:pPr>
        <w:ind w:left="260" w:right="300"/>
        <w:spacing w:after="0" w:line="228" w:lineRule="auto"/>
        <w:rPr>
          <w:sz w:val="20"/>
          <w:szCs w:val="20"/>
          <w:color w:val="auto"/>
        </w:rPr>
      </w:pPr>
      <w:r>
        <w:rPr>
          <w:rFonts w:ascii="Times New Roman" w:cs="Times New Roman" w:eastAsia="Times New Roman" w:hAnsi="Times New Roman"/>
          <w:sz w:val="24"/>
          <w:szCs w:val="24"/>
          <w:color w:val="auto"/>
        </w:rPr>
        <w:t>The following report discusses the choice of specifications and acceptance criteria for BEA 2180 BR Respimat</w:t>
      </w:r>
      <w:r>
        <w:rPr>
          <w:rFonts w:ascii="Times New Roman" w:cs="Times New Roman" w:eastAsia="Times New Roman" w:hAnsi="Times New Roman"/>
          <w:sz w:val="31"/>
          <w:szCs w:val="31"/>
          <w:color w:val="auto"/>
          <w:vertAlign w:val="superscript"/>
        </w:rPr>
        <w:t>®</w:t>
      </w:r>
      <w:r>
        <w:rPr>
          <w:rFonts w:ascii="Times New Roman" w:cs="Times New Roman" w:eastAsia="Times New Roman" w:hAnsi="Times New Roman"/>
          <w:sz w:val="24"/>
          <w:szCs w:val="24"/>
          <w:color w:val="auto"/>
        </w:rPr>
        <w:t xml:space="preserve"> Solution for Inhalation. The report focuses on test parameters, which may affect the efficacy and safety of the drug product:</w:t>
      </w:r>
    </w:p>
    <w:p>
      <w:pPr>
        <w:spacing w:after="0" w:line="326" w:lineRule="exact"/>
        <w:rPr>
          <w:sz w:val="20"/>
          <w:szCs w:val="20"/>
          <w:color w:val="auto"/>
        </w:rPr>
      </w:pPr>
    </w:p>
    <w:p>
      <w:pPr>
        <w:ind w:left="1340" w:hanging="718"/>
        <w:spacing w:after="0"/>
        <w:tabs>
          <w:tab w:leader="none" w:pos="13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Active ingredient degradation</w:t>
      </w:r>
    </w:p>
    <w:p>
      <w:pPr>
        <w:spacing w:after="0" w:line="360" w:lineRule="exact"/>
        <w:rPr>
          <w:rFonts w:ascii="Arial" w:cs="Arial" w:eastAsia="Arial" w:hAnsi="Arial"/>
          <w:sz w:val="24"/>
          <w:szCs w:val="24"/>
          <w:color w:val="auto"/>
        </w:rPr>
      </w:pPr>
    </w:p>
    <w:p>
      <w:pPr>
        <w:ind w:left="1340" w:hanging="718"/>
        <w:spacing w:after="0"/>
        <w:tabs>
          <w:tab w:leader="none" w:pos="13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Assay of the active ingredient</w:t>
      </w:r>
    </w:p>
    <w:p>
      <w:pPr>
        <w:spacing w:after="0" w:line="360" w:lineRule="exact"/>
        <w:rPr>
          <w:rFonts w:ascii="Arial" w:cs="Arial" w:eastAsia="Arial" w:hAnsi="Arial"/>
          <w:sz w:val="24"/>
          <w:szCs w:val="24"/>
          <w:color w:val="auto"/>
        </w:rPr>
      </w:pPr>
    </w:p>
    <w:p>
      <w:pPr>
        <w:ind w:left="1340" w:hanging="718"/>
        <w:spacing w:after="0"/>
        <w:tabs>
          <w:tab w:leader="none" w:pos="13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Microbiological purity</w:t>
      </w:r>
    </w:p>
    <w:p>
      <w:pPr>
        <w:spacing w:after="0" w:line="360" w:lineRule="exact"/>
        <w:rPr>
          <w:rFonts w:ascii="Arial" w:cs="Arial" w:eastAsia="Arial" w:hAnsi="Arial"/>
          <w:sz w:val="24"/>
          <w:szCs w:val="24"/>
          <w:color w:val="auto"/>
        </w:rPr>
      </w:pPr>
    </w:p>
    <w:p>
      <w:pPr>
        <w:ind w:left="1340" w:hanging="718"/>
        <w:spacing w:after="0"/>
        <w:tabs>
          <w:tab w:leader="none" w:pos="13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Spray content uniformity (determined between inhalers)</w:t>
      </w:r>
    </w:p>
    <w:p>
      <w:pPr>
        <w:spacing w:after="0" w:line="360" w:lineRule="exact"/>
        <w:rPr>
          <w:rFonts w:ascii="Arial" w:cs="Arial" w:eastAsia="Arial" w:hAnsi="Arial"/>
          <w:sz w:val="24"/>
          <w:szCs w:val="24"/>
          <w:color w:val="auto"/>
        </w:rPr>
      </w:pPr>
    </w:p>
    <w:p>
      <w:pPr>
        <w:ind w:left="1340" w:hanging="718"/>
        <w:spacing w:after="0"/>
        <w:tabs>
          <w:tab w:leader="none" w:pos="13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Uniformity of Delivered Dose (determined within inhalers)</w:t>
      </w:r>
    </w:p>
    <w:p>
      <w:pPr>
        <w:spacing w:after="0" w:line="360" w:lineRule="exact"/>
        <w:rPr>
          <w:rFonts w:ascii="Arial" w:cs="Arial" w:eastAsia="Arial" w:hAnsi="Arial"/>
          <w:sz w:val="24"/>
          <w:szCs w:val="24"/>
          <w:color w:val="auto"/>
        </w:rPr>
      </w:pPr>
    </w:p>
    <w:p>
      <w:pPr>
        <w:ind w:left="1340" w:hanging="718"/>
        <w:spacing w:after="0"/>
        <w:tabs>
          <w:tab w:leader="none" w:pos="13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Aerodynamic Fine Particle Dose (determined with ACI or by laser diffraction)</w:t>
      </w:r>
    </w:p>
    <w:p>
      <w:pPr>
        <w:spacing w:after="0" w:line="359" w:lineRule="exact"/>
        <w:rPr>
          <w:sz w:val="20"/>
          <w:szCs w:val="20"/>
          <w:color w:val="auto"/>
        </w:rPr>
      </w:pPr>
    </w:p>
    <w:p>
      <w:pPr>
        <w:ind w:left="260" w:right="140"/>
        <w:spacing w:after="0" w:line="252" w:lineRule="auto"/>
        <w:rPr>
          <w:sz w:val="20"/>
          <w:szCs w:val="20"/>
          <w:color w:val="auto"/>
        </w:rPr>
      </w:pPr>
      <w:r>
        <w:rPr>
          <w:rFonts w:ascii="Times New Roman" w:cs="Times New Roman" w:eastAsia="Times New Roman" w:hAnsi="Times New Roman"/>
          <w:sz w:val="24"/>
          <w:szCs w:val="24"/>
          <w:color w:val="auto"/>
        </w:rPr>
        <w:t>For a tabular summary of all specifications assigned to BEA 2180 Br Respimat solution for inhalation please refer to section P.5.1 'Specifications for the Drug Product, BEA 2180 BR Respimat</w:t>
      </w:r>
      <w:r>
        <w:rPr>
          <w:rFonts w:ascii="Times New Roman" w:cs="Times New Roman" w:eastAsia="Times New Roman" w:hAnsi="Times New Roman"/>
          <w:sz w:val="31"/>
          <w:szCs w:val="31"/>
          <w:color w:val="auto"/>
          <w:vertAlign w:val="superscript"/>
        </w:rPr>
        <w:t>®</w:t>
      </w:r>
      <w:r>
        <w:rPr>
          <w:rFonts w:ascii="Times New Roman" w:cs="Times New Roman" w:eastAsia="Times New Roman" w:hAnsi="Times New Roman"/>
          <w:sz w:val="24"/>
          <w:szCs w:val="24"/>
          <w:color w:val="auto"/>
        </w:rPr>
        <w:t xml:space="preserve"> Solutions for Inhalation'.</w:t>
      </w:r>
    </w:p>
    <w:p>
      <w:pPr>
        <w:spacing w:after="0" w:line="233" w:lineRule="exact"/>
        <w:rPr>
          <w:sz w:val="20"/>
          <w:szCs w:val="20"/>
          <w:color w:val="auto"/>
        </w:rPr>
      </w:pPr>
    </w:p>
    <w:p>
      <w:pPr>
        <w:ind w:left="260" w:right="160"/>
        <w:spacing w:after="0" w:line="255" w:lineRule="auto"/>
        <w:rPr>
          <w:sz w:val="20"/>
          <w:szCs w:val="20"/>
          <w:color w:val="auto"/>
        </w:rPr>
      </w:pPr>
      <w:r>
        <w:rPr>
          <w:rFonts w:ascii="Times New Roman" w:cs="Times New Roman" w:eastAsia="Times New Roman" w:hAnsi="Times New Roman"/>
          <w:sz w:val="24"/>
          <w:szCs w:val="24"/>
          <w:color w:val="auto"/>
        </w:rPr>
        <w:t>The test parameters and acceptance criteria are consistent with recommendations in the ICH Q6A guidance and the EMEA Guideline on the Pharmaceutical Quality of Inhalation and Nasal Products where appropriate.</w:t>
      </w:r>
    </w:p>
    <w:p>
      <w:pPr>
        <w:spacing w:after="0" w:line="308" w:lineRule="exact"/>
        <w:rPr>
          <w:sz w:val="20"/>
          <w:szCs w:val="20"/>
          <w:color w:val="auto"/>
        </w:rPr>
      </w:pPr>
    </w:p>
    <w:p>
      <w:pPr>
        <w:jc w:val="both"/>
        <w:ind w:left="260" w:right="40"/>
        <w:spacing w:after="0" w:line="255" w:lineRule="auto"/>
        <w:rPr>
          <w:sz w:val="20"/>
          <w:szCs w:val="20"/>
          <w:color w:val="auto"/>
        </w:rPr>
      </w:pPr>
      <w:r>
        <w:rPr>
          <w:rFonts w:ascii="Times New Roman" w:cs="Times New Roman" w:eastAsia="Times New Roman" w:hAnsi="Times New Roman"/>
          <w:sz w:val="24"/>
          <w:szCs w:val="24"/>
          <w:color w:val="auto"/>
        </w:rPr>
        <w:t>The acceptance criteria have been set, based on international requirements and results from release, long term and accelerated stability testing of non-clinical and clinical drug product batches. They are reflective of manufacturing and analytical capability.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97155</wp:posOffset>
                </wp:positionH>
                <wp:positionV relativeFrom="paragraph">
                  <wp:posOffset>2880360</wp:posOffset>
                </wp:positionV>
                <wp:extent cx="58248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226.8pt" to="466.3pt,226.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6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9060"/>
          </w:cols>
          <w:pgMar w:left="1440" w:top="660" w:right="1400" w:bottom="0" w:gutter="0" w:footer="0" w:header="0"/>
        </w:sectPr>
      </w:pPr>
    </w:p>
    <w:bookmarkStart w:id="3" w:name="page4"/>
    <w:bookmarkEnd w:id="3"/>
    <w:tbl>
      <w:tblPr>
        <w:tblLayout w:type="fixed"/>
        <w:tblInd w:w="240" w:type="dxa"/>
        <w:tblCellMar>
          <w:top w:w="0" w:type="dxa"/>
          <w:left w:w="0" w:type="dxa"/>
          <w:bottom w:w="0" w:type="dxa"/>
          <w:right w:w="0" w:type="dxa"/>
        </w:tblCellMar>
      </w:tblPr>
      <w:tr>
        <w:trPr>
          <w:trHeight w:val="379"/>
        </w:trPr>
        <w:tc>
          <w:tcPr>
            <w:tcW w:w="54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Justification of Specification for the Drug Product</w:t>
            </w:r>
          </w:p>
        </w:tc>
        <w:tc>
          <w:tcPr>
            <w:tcW w:w="184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Internal Number</w:t>
            </w:r>
          </w:p>
        </w:tc>
        <w:tc>
          <w:tcPr>
            <w:tcW w:w="156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Page</w:t>
            </w:r>
          </w:p>
        </w:tc>
      </w:tr>
      <w:tr>
        <w:trPr>
          <w:trHeight w:val="382"/>
        </w:trPr>
        <w:tc>
          <w:tcPr>
            <w:tcW w:w="542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ADD 1358</w:t>
            </w:r>
          </w:p>
        </w:tc>
        <w:tc>
          <w:tcPr>
            <w:tcW w:w="1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4 of 6</w:t>
            </w:r>
          </w:p>
        </w:tc>
      </w:tr>
    </w:tbl>
    <w:p>
      <w:pPr>
        <w:spacing w:after="0" w:line="10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1076960</wp:posOffset>
                </wp:positionH>
                <wp:positionV relativeFrom="page">
                  <wp:posOffset>431800</wp:posOffset>
                </wp:positionV>
                <wp:extent cx="0" cy="69469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pt,34pt" to="84.8pt,88.7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6661150</wp:posOffset>
                </wp:positionH>
                <wp:positionV relativeFrom="page">
                  <wp:posOffset>431800</wp:posOffset>
                </wp:positionV>
                <wp:extent cx="0" cy="69469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34pt" to="524.5pt,88.7pt" o:allowincell="f" strokecolor="#000000" strokeweight="0.72pt">
                <w10:wrap anchorx="page" anchory="page"/>
              </v:line>
            </w:pict>
          </mc:Fallback>
        </mc:AlternateContent>
      </w:r>
    </w:p>
    <w:p>
      <w:pPr>
        <w:ind w:left="50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wp:posOffset>
                </wp:positionH>
                <wp:positionV relativeFrom="paragraph">
                  <wp:posOffset>13335</wp:posOffset>
                </wp:positionV>
                <wp:extent cx="5593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05pt" to="452.85pt,1.05pt" o:allowincell="f" strokecolor="#000000" strokeweight="0.7199pt"/>
            </w:pict>
          </mc:Fallback>
        </mc:AlternateContent>
      </w:r>
    </w:p>
    <w:p>
      <w:pPr>
        <w:spacing w:after="0" w:line="200" w:lineRule="exact"/>
        <w:rPr>
          <w:sz w:val="20"/>
          <w:szCs w:val="20"/>
          <w:color w:val="auto"/>
        </w:rPr>
      </w:pPr>
    </w:p>
    <w:p>
      <w:pPr>
        <w:spacing w:after="0" w:line="301" w:lineRule="exact"/>
        <w:rPr>
          <w:sz w:val="20"/>
          <w:szCs w:val="20"/>
          <w:color w:val="auto"/>
        </w:rPr>
      </w:pPr>
    </w:p>
    <w:p>
      <w:pPr>
        <w:ind w:left="1160" w:hanging="898"/>
        <w:spacing w:after="0"/>
        <w:tabs>
          <w:tab w:leader="none" w:pos="1160"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JUSTIFICATION OF SPECIFICATIONS</w:t>
      </w:r>
    </w:p>
    <w:p>
      <w:pPr>
        <w:spacing w:after="0" w:line="200" w:lineRule="exact"/>
        <w:rPr>
          <w:sz w:val="20"/>
          <w:szCs w:val="20"/>
          <w:color w:val="auto"/>
        </w:rPr>
      </w:pPr>
    </w:p>
    <w:p>
      <w:pPr>
        <w:spacing w:after="0" w:line="281" w:lineRule="exact"/>
        <w:rPr>
          <w:sz w:val="20"/>
          <w:szCs w:val="20"/>
          <w:color w:val="auto"/>
        </w:rPr>
      </w:pPr>
    </w:p>
    <w:p>
      <w:pPr>
        <w:ind w:left="260"/>
        <w:spacing w:after="0"/>
        <w:tabs>
          <w:tab w:leader="none" w:pos="1140" w:val="left"/>
        </w:tabs>
        <w:rPr>
          <w:sz w:val="20"/>
          <w:szCs w:val="20"/>
          <w:color w:val="auto"/>
        </w:rPr>
      </w:pPr>
      <w:r>
        <w:rPr>
          <w:rFonts w:ascii="Times New Roman" w:cs="Times New Roman" w:eastAsia="Times New Roman" w:hAnsi="Times New Roman"/>
          <w:sz w:val="24"/>
          <w:szCs w:val="24"/>
          <w:b w:val="1"/>
          <w:bCs w:val="1"/>
          <w:color w:val="auto"/>
        </w:rPr>
        <w:t>2.1</w:t>
      </w:r>
      <w:r>
        <w:rPr>
          <w:sz w:val="20"/>
          <w:szCs w:val="20"/>
          <w:color w:val="auto"/>
        </w:rPr>
        <w:tab/>
      </w:r>
      <w:r>
        <w:rPr>
          <w:rFonts w:ascii="Times New Roman" w:cs="Times New Roman" w:eastAsia="Times New Roman" w:hAnsi="Times New Roman"/>
          <w:sz w:val="24"/>
          <w:szCs w:val="24"/>
          <w:b w:val="1"/>
          <w:bCs w:val="1"/>
          <w:color w:val="auto"/>
        </w:rPr>
        <w:t>ACTIVE INGREDIENT DEGRADATION</w:t>
      </w:r>
    </w:p>
    <w:p>
      <w:pPr>
        <w:spacing w:after="0" w:line="200" w:lineRule="exact"/>
        <w:rPr>
          <w:sz w:val="20"/>
          <w:szCs w:val="20"/>
          <w:color w:val="auto"/>
        </w:rPr>
      </w:pPr>
    </w:p>
    <w:p>
      <w:pPr>
        <w:spacing w:after="0" w:line="22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A potential degradation of BEA 2180 BR is presented in Figure 1.</w:t>
      </w:r>
    </w:p>
    <w:p>
      <w:pPr>
        <w:spacing w:after="0" w:line="262" w:lineRule="exact"/>
        <w:rPr>
          <w:sz w:val="20"/>
          <w:szCs w:val="20"/>
          <w:color w:val="auto"/>
        </w:rPr>
      </w:pPr>
    </w:p>
    <w:p>
      <w:pPr>
        <w:ind w:left="2540"/>
        <w:spacing w:after="0"/>
        <w:rPr>
          <w:sz w:val="20"/>
          <w:szCs w:val="20"/>
          <w:color w:val="auto"/>
        </w:rPr>
      </w:pPr>
      <w:r>
        <w:rPr>
          <w:rFonts w:ascii="Arial" w:cs="Arial" w:eastAsia="Arial" w:hAnsi="Arial"/>
          <w:sz w:val="33"/>
          <w:szCs w:val="33"/>
          <w:color w:val="auto"/>
          <w:vertAlign w:val="subscript"/>
        </w:rPr>
        <w:t>N +</w:t>
      </w:r>
      <w:r>
        <w:rPr>
          <w:rFonts w:ascii="Arial" w:cs="Arial" w:eastAsia="Arial" w:hAnsi="Arial"/>
          <w:sz w:val="17"/>
          <w:szCs w:val="17"/>
          <w:color w:val="auto"/>
        </w:rPr>
        <w:t xml:space="preserve"> Br </w:t>
      </w:r>
      <w:r>
        <w:rPr>
          <w:rFonts w:ascii="Arial" w:cs="Arial" w:eastAsia="Arial" w:hAnsi="Arial"/>
          <w:sz w:val="24"/>
          <w:szCs w:val="24"/>
          <w:color w:val="auto"/>
          <w:vertAlign w:val="superscript"/>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1447800</wp:posOffset>
            </wp:positionH>
            <wp:positionV relativeFrom="paragraph">
              <wp:posOffset>-116840</wp:posOffset>
            </wp:positionV>
            <wp:extent cx="1209040" cy="8407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extLst>
                    </a:blip>
                    <a:srcRect/>
                    <a:stretch>
                      <a:fillRect/>
                    </a:stretch>
                  </pic:blipFill>
                  <pic:spPr bwMode="auto">
                    <a:xfrm>
                      <a:off x="0" y="0"/>
                      <a:ext cx="1209040" cy="840740"/>
                    </a:xfrm>
                    <a:prstGeom prst="rect">
                      <a:avLst/>
                    </a:prstGeom>
                    <a:noFill/>
                  </pic:spPr>
                </pic:pic>
              </a:graphicData>
            </a:graphic>
          </wp:anchor>
        </w:drawing>
      </w:r>
    </w:p>
    <w:p>
      <w:pPr>
        <w:spacing w:after="0" w:line="139" w:lineRule="exact"/>
        <w:rPr>
          <w:sz w:val="20"/>
          <w:szCs w:val="20"/>
          <w:color w:val="auto"/>
        </w:rPr>
      </w:pPr>
    </w:p>
    <w:p>
      <w:pPr>
        <w:ind w:left="2200"/>
        <w:spacing w:after="0"/>
        <w:rPr>
          <w:sz w:val="20"/>
          <w:szCs w:val="20"/>
          <w:color w:val="auto"/>
        </w:rPr>
      </w:pPr>
      <w:r>
        <w:rPr>
          <w:rFonts w:ascii="Arial" w:cs="Arial" w:eastAsia="Arial" w:hAnsi="Arial"/>
          <w:sz w:val="17"/>
          <w:szCs w:val="17"/>
          <w:color w:val="auto"/>
        </w:rPr>
        <w:t>O</w:t>
      </w:r>
    </w:p>
    <w:p>
      <w:pPr>
        <w:spacing w:after="0" w:line="199" w:lineRule="exact"/>
        <w:rPr>
          <w:sz w:val="20"/>
          <w:szCs w:val="20"/>
          <w:color w:val="auto"/>
        </w:rPr>
      </w:pPr>
    </w:p>
    <w:p>
      <w:pPr>
        <w:ind w:left="2940"/>
        <w:spacing w:after="0"/>
        <w:rPr>
          <w:sz w:val="20"/>
          <w:szCs w:val="20"/>
          <w:color w:val="auto"/>
        </w:rPr>
      </w:pPr>
      <w:r>
        <w:rPr>
          <w:rFonts w:ascii="Arial" w:cs="Arial" w:eastAsia="Arial" w:hAnsi="Arial"/>
          <w:sz w:val="17"/>
          <w:szCs w:val="17"/>
          <w:color w:val="auto"/>
        </w:rPr>
        <w:t>O</w:t>
      </w:r>
    </w:p>
    <w:p>
      <w:pPr>
        <w:spacing w:after="0" w:line="147" w:lineRule="exact"/>
        <w:rPr>
          <w:sz w:val="20"/>
          <w:szCs w:val="20"/>
          <w:color w:val="auto"/>
        </w:rPr>
      </w:pPr>
    </w:p>
    <w:p>
      <w:pPr>
        <w:jc w:val="center"/>
        <w:ind w:right="2480"/>
        <w:spacing w:after="0"/>
        <w:rPr>
          <w:sz w:val="20"/>
          <w:szCs w:val="20"/>
          <w:color w:val="auto"/>
        </w:rPr>
      </w:pPr>
      <w:r>
        <w:rPr>
          <w:rFonts w:ascii="Arial" w:cs="Arial" w:eastAsia="Arial" w:hAnsi="Arial"/>
          <w:sz w:val="17"/>
          <w:szCs w:val="17"/>
          <w:color w:val="auto"/>
        </w:rPr>
        <w:t>O</w:t>
      </w:r>
    </w:p>
    <w:p>
      <w:pPr>
        <w:spacing w:after="0" w:line="207" w:lineRule="exact"/>
        <w:rPr>
          <w:sz w:val="20"/>
          <w:szCs w:val="20"/>
          <w:color w:val="auto"/>
        </w:rPr>
      </w:pPr>
    </w:p>
    <w:p>
      <w:pPr>
        <w:ind w:left="2780"/>
        <w:spacing w:after="0"/>
        <w:rPr>
          <w:sz w:val="20"/>
          <w:szCs w:val="20"/>
          <w:color w:val="auto"/>
        </w:rPr>
      </w:pPr>
      <w:r>
        <w:rPr>
          <w:rFonts w:ascii="Arial" w:cs="Arial" w:eastAsia="Arial" w:hAnsi="Arial"/>
          <w:sz w:val="17"/>
          <w:szCs w:val="17"/>
          <w:color w:val="auto"/>
        </w:rPr>
        <w:t>BEA 2180 BR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1283970</wp:posOffset>
            </wp:positionH>
            <wp:positionV relativeFrom="paragraph">
              <wp:posOffset>236220</wp:posOffset>
            </wp:positionV>
            <wp:extent cx="350520" cy="2673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extLst>
                    </a:blip>
                    <a:srcRect/>
                    <a:stretch>
                      <a:fillRect/>
                    </a:stretch>
                  </pic:blipFill>
                  <pic:spPr bwMode="auto">
                    <a:xfrm>
                      <a:off x="0" y="0"/>
                      <a:ext cx="350520" cy="267335"/>
                    </a:xfrm>
                    <a:prstGeom prst="rect">
                      <a:avLst/>
                    </a:prstGeom>
                    <a:noFill/>
                  </pic:spPr>
                </pic:pic>
              </a:graphicData>
            </a:graphic>
          </wp:anchor>
        </w:drawing>
        <w:drawing>
          <wp:anchor simplePos="0" relativeHeight="251657728" behindDoc="1" locked="0" layoutInCell="0" allowOverlap="1">
            <wp:simplePos x="0" y="0"/>
            <wp:positionH relativeFrom="column">
              <wp:posOffset>2633345</wp:posOffset>
            </wp:positionH>
            <wp:positionV relativeFrom="paragraph">
              <wp:posOffset>225425</wp:posOffset>
            </wp:positionV>
            <wp:extent cx="1045210" cy="10045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extLst>
                    </a:blip>
                    <a:srcRect/>
                    <a:stretch>
                      <a:fillRect/>
                    </a:stretch>
                  </pic:blipFill>
                  <pic:spPr bwMode="auto">
                    <a:xfrm>
                      <a:off x="0" y="0"/>
                      <a:ext cx="1045210" cy="1004570"/>
                    </a:xfrm>
                    <a:prstGeom prst="rect">
                      <a:avLst/>
                    </a:prstGeom>
                    <a:noFill/>
                  </pic:spPr>
                </pic:pic>
              </a:graphicData>
            </a:graphic>
          </wp:anchor>
        </w:drawing>
      </w:r>
    </w:p>
    <w:p>
      <w:pPr>
        <w:spacing w:after="0" w:line="398" w:lineRule="exact"/>
        <w:rPr>
          <w:sz w:val="20"/>
          <w:szCs w:val="20"/>
          <w:color w:val="auto"/>
        </w:rPr>
      </w:pPr>
    </w:p>
    <w:p>
      <w:pPr>
        <w:ind w:left="2960"/>
        <w:spacing w:after="0"/>
        <w:rPr>
          <w:sz w:val="20"/>
          <w:szCs w:val="20"/>
          <w:color w:val="auto"/>
        </w:rPr>
      </w:pPr>
      <w:r>
        <w:rPr>
          <w:rFonts w:ascii="Arial" w:cs="Arial" w:eastAsia="Arial" w:hAnsi="Arial"/>
          <w:sz w:val="17"/>
          <w:szCs w:val="17"/>
          <w:color w:val="auto"/>
        </w:rPr>
        <w:t>+H</w:t>
      </w:r>
      <w:r>
        <w:rPr>
          <w:rFonts w:ascii="Arial" w:cs="Arial" w:eastAsia="Arial" w:hAnsi="Arial"/>
          <w:sz w:val="21"/>
          <w:szCs w:val="21"/>
          <w:color w:val="auto"/>
          <w:vertAlign w:val="subscript"/>
        </w:rPr>
        <w:t>2</w:t>
      </w:r>
      <w:r>
        <w:rPr>
          <w:rFonts w:ascii="Arial" w:cs="Arial" w:eastAsia="Arial" w:hAnsi="Arial"/>
          <w:sz w:val="17"/>
          <w:szCs w:val="17"/>
          <w:color w:val="auto"/>
        </w:rPr>
        <w:t>O</w:t>
      </w:r>
    </w:p>
    <w:p>
      <w:pPr>
        <w:spacing w:after="0" w:line="16" w:lineRule="exact"/>
        <w:rPr>
          <w:sz w:val="20"/>
          <w:szCs w:val="20"/>
          <w:color w:val="auto"/>
        </w:rPr>
      </w:pPr>
    </w:p>
    <w:p>
      <w:pPr>
        <w:ind w:left="2960"/>
        <w:spacing w:after="0"/>
        <w:rPr>
          <w:sz w:val="20"/>
          <w:szCs w:val="20"/>
          <w:color w:val="auto"/>
        </w:rPr>
      </w:pPr>
      <w:r>
        <w:rPr>
          <w:rFonts w:ascii="Arial" w:cs="Arial" w:eastAsia="Arial" w:hAnsi="Arial"/>
          <w:sz w:val="17"/>
          <w:szCs w:val="17"/>
          <w:color w:val="auto"/>
        </w:rPr>
        <w:t>Hydrolysis</w:t>
      </w:r>
    </w:p>
    <w:p>
      <w:pPr>
        <w:spacing w:after="0" w:line="34" w:lineRule="exact"/>
        <w:rPr>
          <w:sz w:val="20"/>
          <w:szCs w:val="20"/>
          <w:color w:val="auto"/>
        </w:rPr>
      </w:pPr>
    </w:p>
    <w:p>
      <w:pPr>
        <w:ind w:left="1780"/>
        <w:spacing w:after="0"/>
        <w:rPr>
          <w:sz w:val="20"/>
          <w:szCs w:val="20"/>
          <w:color w:val="auto"/>
        </w:rPr>
      </w:pPr>
      <w:r>
        <w:rPr>
          <w:rFonts w:ascii="Arial" w:cs="Arial" w:eastAsia="Arial" w:hAnsi="Arial"/>
          <w:sz w:val="33"/>
          <w:szCs w:val="33"/>
          <w:color w:val="auto"/>
          <w:vertAlign w:val="subscript"/>
        </w:rPr>
        <w:t>N+</w:t>
      </w:r>
      <w:r>
        <w:rPr>
          <w:rFonts w:ascii="Arial" w:cs="Arial" w:eastAsia="Arial" w:hAnsi="Arial"/>
          <w:sz w:val="17"/>
          <w:szCs w:val="17"/>
          <w:color w:val="auto"/>
        </w:rPr>
        <w:t xml:space="preserve"> Br </w:t>
      </w:r>
      <w:r>
        <w:rPr>
          <w:rFonts w:ascii="Arial" w:cs="Arial" w:eastAsia="Arial" w:hAnsi="Arial"/>
          <w:sz w:val="24"/>
          <w:szCs w:val="24"/>
          <w:color w:val="auto"/>
          <w:vertAlign w:val="superscript"/>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977900</wp:posOffset>
            </wp:positionH>
            <wp:positionV relativeFrom="paragraph">
              <wp:posOffset>-120650</wp:posOffset>
            </wp:positionV>
            <wp:extent cx="464185" cy="5003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extLst>
                    </a:blip>
                    <a:srcRect/>
                    <a:stretch>
                      <a:fillRect/>
                    </a:stretch>
                  </pic:blipFill>
                  <pic:spPr bwMode="auto">
                    <a:xfrm>
                      <a:off x="0" y="0"/>
                      <a:ext cx="464185" cy="500380"/>
                    </a:xfrm>
                    <a:prstGeom prst="rect">
                      <a:avLst/>
                    </a:prstGeom>
                    <a:noFill/>
                  </pic:spPr>
                </pic:pic>
              </a:graphicData>
            </a:graphic>
          </wp:anchor>
        </w:drawing>
      </w:r>
    </w:p>
    <w:p>
      <w:pPr>
        <w:spacing w:after="0" w:line="63" w:lineRule="exact"/>
        <w:rPr>
          <w:sz w:val="20"/>
          <w:szCs w:val="20"/>
          <w:color w:val="auto"/>
        </w:rPr>
      </w:pPr>
    </w:p>
    <w:tbl>
      <w:tblPr>
        <w:tblLayout w:type="fixed"/>
        <w:tblInd w:w="1460" w:type="dxa"/>
        <w:tblCellMar>
          <w:top w:w="0" w:type="dxa"/>
          <w:left w:w="0" w:type="dxa"/>
          <w:bottom w:w="0" w:type="dxa"/>
          <w:right w:w="0" w:type="dxa"/>
        </w:tblCellMar>
      </w:tblPr>
      <w:tr>
        <w:trPr>
          <w:trHeight w:val="217"/>
        </w:trPr>
        <w:tc>
          <w:tcPr>
            <w:tcW w:w="1540" w:type="dxa"/>
            <w:vAlign w:val="bottom"/>
            <w:vMerge w:val="restart"/>
          </w:tcPr>
          <w:p>
            <w:pPr>
              <w:spacing w:after="0"/>
              <w:rPr>
                <w:sz w:val="20"/>
                <w:szCs w:val="20"/>
                <w:color w:val="auto"/>
              </w:rPr>
            </w:pPr>
            <w:r>
              <w:rPr>
                <w:rFonts w:ascii="Arial" w:cs="Arial" w:eastAsia="Arial" w:hAnsi="Arial"/>
                <w:sz w:val="17"/>
                <w:szCs w:val="17"/>
                <w:color w:val="auto"/>
              </w:rPr>
              <w:t>O</w:t>
            </w:r>
          </w:p>
        </w:tc>
        <w:tc>
          <w:tcPr>
            <w:tcW w:w="1680" w:type="dxa"/>
            <w:vAlign w:val="bottom"/>
          </w:tcPr>
          <w:p>
            <w:pPr>
              <w:ind w:left="1420"/>
              <w:spacing w:after="0"/>
              <w:rPr>
                <w:sz w:val="20"/>
                <w:szCs w:val="20"/>
                <w:color w:val="auto"/>
              </w:rPr>
            </w:pPr>
            <w:r>
              <w:rPr>
                <w:rFonts w:ascii="Arial" w:cs="Arial" w:eastAsia="Arial" w:hAnsi="Arial"/>
                <w:sz w:val="17"/>
                <w:szCs w:val="17"/>
                <w:color w:val="auto"/>
                <w:w w:val="93"/>
              </w:rPr>
              <w:t>HO</w:t>
            </w:r>
          </w:p>
        </w:tc>
        <w:tc>
          <w:tcPr>
            <w:tcW w:w="0" w:type="dxa"/>
            <w:vAlign w:val="bottom"/>
          </w:tcPr>
          <w:p>
            <w:pPr>
              <w:spacing w:after="0"/>
              <w:rPr>
                <w:sz w:val="1"/>
                <w:szCs w:val="1"/>
                <w:color w:val="auto"/>
              </w:rPr>
            </w:pPr>
          </w:p>
        </w:tc>
      </w:tr>
      <w:tr>
        <w:trPr>
          <w:trHeight w:val="70"/>
        </w:trPr>
        <w:tc>
          <w:tcPr>
            <w:tcW w:w="1540" w:type="dxa"/>
            <w:vAlign w:val="bottom"/>
            <w:vMerge w:val="continue"/>
          </w:tcPr>
          <w:p>
            <w:pPr>
              <w:spacing w:after="0"/>
              <w:rPr>
                <w:sz w:val="6"/>
                <w:szCs w:val="6"/>
                <w:color w:val="auto"/>
              </w:rPr>
            </w:pPr>
          </w:p>
        </w:tc>
        <w:tc>
          <w:tcPr>
            <w:tcW w:w="1680" w:type="dxa"/>
            <w:vAlign w:val="bottom"/>
          </w:tcPr>
          <w:p>
            <w:pPr>
              <w:spacing w:after="0"/>
              <w:rPr>
                <w:sz w:val="6"/>
                <w:szCs w:val="6"/>
                <w:color w:val="auto"/>
              </w:rPr>
            </w:pPr>
          </w:p>
        </w:tc>
        <w:tc>
          <w:tcPr>
            <w:tcW w:w="0" w:type="dxa"/>
            <w:vAlign w:val="bottom"/>
          </w:tcPr>
          <w:p>
            <w:pPr>
              <w:spacing w:after="0"/>
              <w:rPr>
                <w:sz w:val="1"/>
                <w:szCs w:val="1"/>
                <w:color w:val="auto"/>
              </w:rPr>
            </w:pPr>
          </w:p>
        </w:tc>
      </w:tr>
    </w:tbl>
    <w:p>
      <w:pPr>
        <w:ind w:left="4840"/>
        <w:spacing w:after="0"/>
        <w:rPr>
          <w:sz w:val="20"/>
          <w:szCs w:val="20"/>
          <w:color w:val="auto"/>
        </w:rPr>
      </w:pPr>
      <w:r>
        <w:rPr>
          <w:rFonts w:ascii="Arial" w:cs="Arial" w:eastAsia="Arial" w:hAnsi="Arial"/>
          <w:sz w:val="17"/>
          <w:szCs w:val="17"/>
          <w:color w:val="auto"/>
        </w:rPr>
        <w:t>O</w:t>
      </w:r>
    </w:p>
    <w:p>
      <w:pPr>
        <w:ind w:left="2200"/>
        <w:spacing w:after="0"/>
        <w:rPr>
          <w:sz w:val="20"/>
          <w:szCs w:val="20"/>
          <w:color w:val="auto"/>
        </w:rPr>
      </w:pPr>
      <w:r>
        <w:rPr>
          <w:rFonts w:ascii="Arial" w:cs="Arial" w:eastAsia="Arial" w:hAnsi="Arial"/>
          <w:sz w:val="17"/>
          <w:szCs w:val="17"/>
          <w:color w:val="auto"/>
        </w:rPr>
        <w:t>OH</w:t>
      </w:r>
    </w:p>
    <w:p>
      <w:pPr>
        <w:spacing w:after="0" w:line="107" w:lineRule="exact"/>
        <w:rPr>
          <w:sz w:val="20"/>
          <w:szCs w:val="20"/>
          <w:color w:val="auto"/>
        </w:rPr>
      </w:pPr>
    </w:p>
    <w:p>
      <w:pPr>
        <w:ind w:left="4420" w:right="2680" w:hanging="2867"/>
        <w:spacing w:after="0" w:line="271" w:lineRule="auto"/>
        <w:tabs>
          <w:tab w:leader="none" w:pos="4400" w:val="left"/>
        </w:tabs>
        <w:rPr>
          <w:sz w:val="20"/>
          <w:szCs w:val="20"/>
          <w:color w:val="auto"/>
        </w:rPr>
      </w:pPr>
      <w:r>
        <w:rPr>
          <w:rFonts w:ascii="Arial" w:cs="Arial" w:eastAsia="Arial" w:hAnsi="Arial"/>
          <w:sz w:val="33"/>
          <w:szCs w:val="33"/>
          <w:color w:val="auto"/>
          <w:vertAlign w:val="superscript"/>
        </w:rPr>
        <w:t>BA 338 BR</w:t>
      </w:r>
      <w:r>
        <w:rPr>
          <w:sz w:val="20"/>
          <w:szCs w:val="20"/>
          <w:color w:val="auto"/>
        </w:rPr>
        <w:tab/>
      </w:r>
      <w:r>
        <w:rPr>
          <w:rFonts w:ascii="Arial" w:cs="Arial" w:eastAsia="Arial" w:hAnsi="Arial"/>
          <w:sz w:val="17"/>
          <w:szCs w:val="17"/>
          <w:color w:val="auto"/>
        </w:rPr>
        <w:t>CDBG 258 SE 2,2-Diphenylpropionic acid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1242695</wp:posOffset>
            </wp:positionH>
            <wp:positionV relativeFrom="paragraph">
              <wp:posOffset>64135</wp:posOffset>
            </wp:positionV>
            <wp:extent cx="107315" cy="4038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extLst>
                    </a:blip>
                    <a:srcRect/>
                    <a:stretch>
                      <a:fillRect/>
                    </a:stretch>
                  </pic:blipFill>
                  <pic:spPr bwMode="auto">
                    <a:xfrm>
                      <a:off x="0" y="0"/>
                      <a:ext cx="107315" cy="403860"/>
                    </a:xfrm>
                    <a:prstGeom prst="rect">
                      <a:avLst/>
                    </a:prstGeom>
                    <a:noFill/>
                  </pic:spPr>
                </pic:pic>
              </a:graphicData>
            </a:graphic>
          </wp:anchor>
        </w:drawing>
      </w:r>
    </w:p>
    <w:p>
      <w:pPr>
        <w:spacing w:after="0" w:line="200" w:lineRule="exact"/>
        <w:rPr>
          <w:sz w:val="20"/>
          <w:szCs w:val="20"/>
          <w:color w:val="auto"/>
        </w:rPr>
      </w:pPr>
    </w:p>
    <w:p>
      <w:pPr>
        <w:spacing w:after="0" w:line="399" w:lineRule="exact"/>
        <w:rPr>
          <w:sz w:val="20"/>
          <w:szCs w:val="20"/>
          <w:color w:val="auto"/>
        </w:rPr>
      </w:pPr>
    </w:p>
    <w:p>
      <w:pPr>
        <w:ind w:left="1780"/>
        <w:spacing w:after="0"/>
        <w:rPr>
          <w:sz w:val="20"/>
          <w:szCs w:val="20"/>
          <w:color w:val="auto"/>
        </w:rPr>
      </w:pPr>
      <w:r>
        <w:rPr>
          <w:rFonts w:ascii="Arial" w:cs="Arial" w:eastAsia="Arial" w:hAnsi="Arial"/>
          <w:sz w:val="33"/>
          <w:szCs w:val="33"/>
          <w:color w:val="auto"/>
          <w:vertAlign w:val="subscript"/>
        </w:rPr>
        <w:t>N+</w:t>
      </w:r>
      <w:r>
        <w:rPr>
          <w:rFonts w:ascii="Arial" w:cs="Arial" w:eastAsia="Arial" w:hAnsi="Arial"/>
          <w:sz w:val="17"/>
          <w:szCs w:val="17"/>
          <w:color w:val="auto"/>
        </w:rPr>
        <w:t xml:space="preserve"> Br </w:t>
      </w:r>
      <w:r>
        <w:rPr>
          <w:rFonts w:ascii="Arial" w:cs="Arial" w:eastAsia="Arial" w:hAnsi="Arial"/>
          <w:sz w:val="24"/>
          <w:szCs w:val="24"/>
          <w:color w:val="auto"/>
          <w:vertAlign w:val="superscript"/>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991235</wp:posOffset>
            </wp:positionH>
            <wp:positionV relativeFrom="paragraph">
              <wp:posOffset>-118745</wp:posOffset>
            </wp:positionV>
            <wp:extent cx="447040" cy="4832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extLst>
                    </a:blip>
                    <a:srcRect/>
                    <a:stretch>
                      <a:fillRect/>
                    </a:stretch>
                  </pic:blipFill>
                  <pic:spPr bwMode="auto">
                    <a:xfrm>
                      <a:off x="0" y="0"/>
                      <a:ext cx="447040" cy="483235"/>
                    </a:xfrm>
                    <a:prstGeom prst="rect">
                      <a:avLst/>
                    </a:prstGeom>
                    <a:noFill/>
                  </pic:spPr>
                </pic:pic>
              </a:graphicData>
            </a:graphic>
          </wp:anchor>
        </w:drawing>
      </w:r>
    </w:p>
    <w:p>
      <w:pPr>
        <w:spacing w:after="0" w:line="137" w:lineRule="exact"/>
        <w:rPr>
          <w:sz w:val="20"/>
          <w:szCs w:val="20"/>
          <w:color w:val="auto"/>
        </w:rPr>
      </w:pPr>
    </w:p>
    <w:p>
      <w:pPr>
        <w:ind w:left="1320"/>
        <w:spacing w:after="0"/>
        <w:rPr>
          <w:sz w:val="20"/>
          <w:szCs w:val="20"/>
          <w:color w:val="auto"/>
        </w:rPr>
      </w:pPr>
      <w:r>
        <w:rPr>
          <w:rFonts w:ascii="Arial" w:cs="Arial" w:eastAsia="Arial" w:hAnsi="Arial"/>
          <w:sz w:val="17"/>
          <w:szCs w:val="17"/>
          <w:color w:val="auto"/>
        </w:rPr>
        <w:t>HO</w:t>
      </w:r>
    </w:p>
    <w:p>
      <w:pPr>
        <w:spacing w:after="0" w:line="120" w:lineRule="exact"/>
        <w:rPr>
          <w:sz w:val="20"/>
          <w:szCs w:val="20"/>
          <w:color w:val="auto"/>
        </w:rPr>
      </w:pPr>
    </w:p>
    <w:p>
      <w:pPr>
        <w:ind w:left="1900"/>
        <w:spacing w:after="0"/>
        <w:rPr>
          <w:sz w:val="20"/>
          <w:szCs w:val="20"/>
          <w:color w:val="auto"/>
        </w:rPr>
      </w:pPr>
      <w:r>
        <w:rPr>
          <w:rFonts w:ascii="Arial" w:cs="Arial" w:eastAsia="Arial" w:hAnsi="Arial"/>
          <w:sz w:val="17"/>
          <w:szCs w:val="17"/>
          <w:color w:val="auto"/>
        </w:rPr>
        <w:t>O</w:t>
      </w:r>
    </w:p>
    <w:p>
      <w:pPr>
        <w:spacing w:after="0" w:line="348" w:lineRule="exact"/>
        <w:rPr>
          <w:sz w:val="20"/>
          <w:szCs w:val="20"/>
          <w:color w:val="auto"/>
        </w:rPr>
      </w:pPr>
    </w:p>
    <w:p>
      <w:pPr>
        <w:ind w:left="1600"/>
        <w:spacing w:after="0"/>
        <w:rPr>
          <w:sz w:val="20"/>
          <w:szCs w:val="20"/>
          <w:color w:val="auto"/>
        </w:rPr>
      </w:pPr>
      <w:r>
        <w:rPr>
          <w:rFonts w:ascii="Arial" w:cs="Arial" w:eastAsia="Arial" w:hAnsi="Arial"/>
          <w:sz w:val="17"/>
          <w:szCs w:val="17"/>
          <w:color w:val="auto"/>
        </w:rPr>
        <w:t>SCH 731 BR</w:t>
      </w:r>
    </w:p>
    <w:p>
      <w:pPr>
        <w:spacing w:after="0" w:line="200" w:lineRule="exact"/>
        <w:rPr>
          <w:sz w:val="20"/>
          <w:szCs w:val="20"/>
          <w:color w:val="auto"/>
        </w:rPr>
      </w:pPr>
    </w:p>
    <w:p>
      <w:pPr>
        <w:spacing w:after="0" w:line="373" w:lineRule="exact"/>
        <w:rPr>
          <w:sz w:val="20"/>
          <w:szCs w:val="20"/>
          <w:color w:val="auto"/>
        </w:rPr>
      </w:pPr>
    </w:p>
    <w:p>
      <w:pPr>
        <w:ind w:left="2520" w:right="420" w:hanging="2267"/>
        <w:spacing w:after="0" w:line="271" w:lineRule="auto"/>
        <w:tabs>
          <w:tab w:leader="none" w:pos="2500" w:val="left"/>
        </w:tabs>
        <w:rPr>
          <w:sz w:val="20"/>
          <w:szCs w:val="20"/>
          <w:color w:val="auto"/>
        </w:rPr>
      </w:pPr>
      <w:r>
        <w:rPr>
          <w:rFonts w:ascii="Times New Roman" w:cs="Times New Roman" w:eastAsia="Times New Roman" w:hAnsi="Times New Roman"/>
          <w:sz w:val="24"/>
          <w:szCs w:val="24"/>
          <w:color w:val="auto"/>
        </w:rPr>
        <w:t>Figure 1:</w:t>
      </w:r>
      <w:r>
        <w:rPr>
          <w:sz w:val="20"/>
          <w:szCs w:val="20"/>
          <w:color w:val="auto"/>
        </w:rPr>
        <w:tab/>
      </w:r>
      <w:r>
        <w:rPr>
          <w:rFonts w:ascii="Times New Roman" w:cs="Times New Roman" w:eastAsia="Times New Roman" w:hAnsi="Times New Roman"/>
          <w:sz w:val="24"/>
          <w:szCs w:val="24"/>
          <w:color w:val="auto"/>
        </w:rPr>
        <w:t>Potential decomposition pathways of BEA 2180 BR in aqueous solution</w:t>
      </w:r>
    </w:p>
    <w:p>
      <w:pPr>
        <w:spacing w:after="0" w:line="289" w:lineRule="exact"/>
        <w:rPr>
          <w:sz w:val="20"/>
          <w:szCs w:val="20"/>
          <w:color w:val="auto"/>
        </w:rPr>
      </w:pPr>
    </w:p>
    <w:p>
      <w:pPr>
        <w:ind w:left="260" w:right="680"/>
        <w:spacing w:after="0" w:line="250" w:lineRule="auto"/>
        <w:rPr>
          <w:sz w:val="20"/>
          <w:szCs w:val="20"/>
          <w:color w:val="auto"/>
        </w:rPr>
      </w:pPr>
      <w:r>
        <w:rPr>
          <w:rFonts w:ascii="Times New Roman" w:cs="Times New Roman" w:eastAsia="Times New Roman" w:hAnsi="Times New Roman"/>
          <w:sz w:val="24"/>
          <w:szCs w:val="24"/>
          <w:color w:val="auto"/>
        </w:rPr>
        <w:t>The degradation pathway of BEA 2180 BR in an aqueous system is ester hydrolysis, resulting in the formation of CDBG 258 SE (2,2-Diphenylpropionic acid) and the corresponding alcohol BA 338 BR. BA 338 BR isomerises in small degree to SCH 731 BR.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97155</wp:posOffset>
                </wp:positionH>
                <wp:positionV relativeFrom="paragraph">
                  <wp:posOffset>1395095</wp:posOffset>
                </wp:positionV>
                <wp:extent cx="58248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109.85pt" to="466.3pt,109.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6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9060"/>
          </w:cols>
          <w:pgMar w:left="1440" w:top="660" w:right="1400" w:bottom="0" w:gutter="0" w:footer="0" w:header="0"/>
        </w:sectPr>
      </w:pPr>
    </w:p>
    <w:bookmarkStart w:id="4" w:name="page5"/>
    <w:bookmarkEnd w:id="4"/>
    <w:tbl>
      <w:tblPr>
        <w:tblLayout w:type="fixed"/>
        <w:tblInd w:w="240" w:type="dxa"/>
        <w:tblCellMar>
          <w:top w:w="0" w:type="dxa"/>
          <w:left w:w="0" w:type="dxa"/>
          <w:bottom w:w="0" w:type="dxa"/>
          <w:right w:w="0" w:type="dxa"/>
        </w:tblCellMar>
      </w:tblPr>
      <w:tr>
        <w:trPr>
          <w:trHeight w:val="379"/>
        </w:trPr>
        <w:tc>
          <w:tcPr>
            <w:tcW w:w="54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Justification of Specification for the Drug Product</w:t>
            </w:r>
          </w:p>
        </w:tc>
        <w:tc>
          <w:tcPr>
            <w:tcW w:w="184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Internal Number</w:t>
            </w:r>
          </w:p>
        </w:tc>
        <w:tc>
          <w:tcPr>
            <w:tcW w:w="156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Page</w:t>
            </w:r>
          </w:p>
        </w:tc>
      </w:tr>
      <w:tr>
        <w:trPr>
          <w:trHeight w:val="382"/>
        </w:trPr>
        <w:tc>
          <w:tcPr>
            <w:tcW w:w="542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ADD 1358</w:t>
            </w:r>
          </w:p>
        </w:tc>
        <w:tc>
          <w:tcPr>
            <w:tcW w:w="1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5 of 6</w:t>
            </w:r>
          </w:p>
        </w:tc>
      </w:tr>
    </w:tbl>
    <w:p>
      <w:pPr>
        <w:spacing w:after="0" w:line="10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1076960</wp:posOffset>
                </wp:positionH>
                <wp:positionV relativeFrom="page">
                  <wp:posOffset>431800</wp:posOffset>
                </wp:positionV>
                <wp:extent cx="0" cy="6946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pt,34pt" to="84.8pt,88.7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6661150</wp:posOffset>
                </wp:positionH>
                <wp:positionV relativeFrom="page">
                  <wp:posOffset>431800</wp:posOffset>
                </wp:positionV>
                <wp:extent cx="0" cy="6946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34pt" to="524.5pt,88.7pt" o:allowincell="f" strokecolor="#000000" strokeweight="0.72pt">
                <w10:wrap anchorx="page" anchory="page"/>
              </v:line>
            </w:pict>
          </mc:Fallback>
        </mc:AlternateContent>
      </w:r>
    </w:p>
    <w:p>
      <w:pPr>
        <w:ind w:left="50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wp:posOffset>
                </wp:positionH>
                <wp:positionV relativeFrom="paragraph">
                  <wp:posOffset>13335</wp:posOffset>
                </wp:positionV>
                <wp:extent cx="5593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05pt" to="452.85pt,1.05pt" o:allowincell="f" strokecolor="#000000" strokeweight="0.7199pt"/>
            </w:pict>
          </mc:Fallback>
        </mc:AlternateConten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u w:val="single" w:color="auto"/>
          <w:color w:val="auto"/>
        </w:rPr>
        <w:t>CDBG 258 SE, BA 338 BR and SCH 731 BR</w:t>
      </w:r>
    </w:p>
    <w:p>
      <w:pPr>
        <w:spacing w:after="0" w:line="318" w:lineRule="exact"/>
        <w:rPr>
          <w:sz w:val="20"/>
          <w:szCs w:val="20"/>
          <w:color w:val="auto"/>
        </w:rPr>
      </w:pPr>
    </w:p>
    <w:p>
      <w:pPr>
        <w:jc w:val="both"/>
        <w:ind w:left="260" w:right="620"/>
        <w:spacing w:after="0" w:line="245" w:lineRule="auto"/>
        <w:rPr>
          <w:sz w:val="20"/>
          <w:szCs w:val="20"/>
          <w:color w:val="auto"/>
        </w:rPr>
      </w:pPr>
      <w:r>
        <w:rPr>
          <w:rFonts w:ascii="Times New Roman" w:cs="Times New Roman" w:eastAsia="Times New Roman" w:hAnsi="Times New Roman"/>
          <w:sz w:val="24"/>
          <w:szCs w:val="24"/>
          <w:color w:val="auto"/>
        </w:rPr>
        <w:t>Shelf life specifications for the degradation products CDBG 258 SE, BA 338 BR and SCH 731 BR are set at 1.00 % (w/w) according to the qualification threshold of ICH guideline Q3B(R). The maximum daily dose applied in the clinical phase IIB trials is 200 µg resulting in qualification thresholds of 1.0 %.</w:t>
      </w:r>
    </w:p>
    <w:p>
      <w:pPr>
        <w:spacing w:after="0" w:line="3" w:lineRule="exact"/>
        <w:rPr>
          <w:sz w:val="20"/>
          <w:szCs w:val="20"/>
          <w:color w:val="auto"/>
        </w:rPr>
      </w:pPr>
    </w:p>
    <w:p>
      <w:pPr>
        <w:ind w:left="260" w:right="140"/>
        <w:spacing w:after="0" w:line="244" w:lineRule="auto"/>
        <w:rPr>
          <w:sz w:val="20"/>
          <w:szCs w:val="20"/>
          <w:color w:val="auto"/>
        </w:rPr>
      </w:pPr>
      <w:r>
        <w:rPr>
          <w:rFonts w:ascii="Times New Roman" w:cs="Times New Roman" w:eastAsia="Times New Roman" w:hAnsi="Times New Roman"/>
          <w:sz w:val="24"/>
          <w:szCs w:val="24"/>
          <w:color w:val="auto"/>
        </w:rPr>
        <w:t>The tolerance limits for the release specification [CDBG 258 SE: NMT 0.20 % (w/w); BA 338 BR, SCH 731 BR: NMT 0.50 % (w/w)] are based on the release specification for the drug substance and allow for variability of the analytical method.</w:t>
      </w:r>
    </w:p>
    <w:p>
      <w:pPr>
        <w:spacing w:after="0" w:line="1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u w:val="single" w:color="auto"/>
          <w:color w:val="auto"/>
        </w:rPr>
        <w:t>Unidentified BEA 2180 BR degradates</w:t>
      </w:r>
    </w:p>
    <w:p>
      <w:pPr>
        <w:spacing w:after="0" w:line="180" w:lineRule="exact"/>
        <w:rPr>
          <w:sz w:val="20"/>
          <w:szCs w:val="20"/>
          <w:color w:val="auto"/>
        </w:rPr>
      </w:pPr>
    </w:p>
    <w:p>
      <w:pPr>
        <w:ind w:left="260" w:right="200"/>
        <w:spacing w:after="0" w:line="245" w:lineRule="auto"/>
        <w:rPr>
          <w:sz w:val="20"/>
          <w:szCs w:val="20"/>
          <w:color w:val="auto"/>
        </w:rPr>
      </w:pPr>
      <w:r>
        <w:rPr>
          <w:rFonts w:ascii="Times New Roman" w:cs="Times New Roman" w:eastAsia="Times New Roman" w:hAnsi="Times New Roman"/>
          <w:sz w:val="24"/>
          <w:szCs w:val="24"/>
          <w:color w:val="auto"/>
        </w:rPr>
        <w:t>The shelf life specification limit was set at NMT 0.50% (peak area) corresponding to half of the qualification threshold of ICH Q3B(R). The specifications take into account the variability of the analytical method as well as the acceptance criteria for the sum of all BEA 2180 BR degradation products.</w:t>
      </w:r>
    </w:p>
    <w:p>
      <w:pPr>
        <w:spacing w:after="0" w:line="3" w:lineRule="exact"/>
        <w:rPr>
          <w:sz w:val="20"/>
          <w:szCs w:val="20"/>
          <w:color w:val="auto"/>
        </w:rPr>
      </w:pPr>
    </w:p>
    <w:p>
      <w:pPr>
        <w:ind w:left="260" w:right="100"/>
        <w:spacing w:after="0" w:line="244" w:lineRule="auto"/>
        <w:rPr>
          <w:sz w:val="20"/>
          <w:szCs w:val="20"/>
          <w:color w:val="auto"/>
        </w:rPr>
      </w:pPr>
      <w:r>
        <w:rPr>
          <w:rFonts w:ascii="Times New Roman" w:cs="Times New Roman" w:eastAsia="Times New Roman" w:hAnsi="Times New Roman"/>
          <w:sz w:val="24"/>
          <w:szCs w:val="24"/>
          <w:color w:val="auto"/>
        </w:rPr>
        <w:t>The tolerance limits for the release specification NMT 0.20% (peak area) reflect the release specification for the drug substance taking into account variability of the analytical method.</w:t>
      </w:r>
    </w:p>
    <w:p>
      <w:pPr>
        <w:spacing w:after="0" w:line="1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u w:val="single" w:color="auto"/>
          <w:color w:val="auto"/>
        </w:rPr>
        <w:t>Sum of all BEA 2180 BR degradation products</w:t>
      </w:r>
    </w:p>
    <w:p>
      <w:pPr>
        <w:spacing w:after="0" w:line="318" w:lineRule="exact"/>
        <w:rPr>
          <w:sz w:val="20"/>
          <w:szCs w:val="20"/>
          <w:color w:val="auto"/>
        </w:rPr>
      </w:pPr>
    </w:p>
    <w:p>
      <w:pPr>
        <w:ind w:left="260" w:right="140"/>
        <w:spacing w:after="0" w:line="247" w:lineRule="auto"/>
        <w:rPr>
          <w:sz w:val="20"/>
          <w:szCs w:val="20"/>
          <w:color w:val="auto"/>
        </w:rPr>
      </w:pPr>
      <w:r>
        <w:rPr>
          <w:rFonts w:ascii="Times New Roman" w:cs="Times New Roman" w:eastAsia="Times New Roman" w:hAnsi="Times New Roman"/>
          <w:sz w:val="24"/>
          <w:szCs w:val="24"/>
          <w:color w:val="auto"/>
        </w:rPr>
        <w:t>The shelf life specification limit was set at NMT 2.50%. This specification limit reflect the low levels of degradation products observed during long term and accelerated stability tests.</w:t>
      </w:r>
    </w:p>
    <w:p>
      <w:pPr>
        <w:spacing w:after="0" w:line="2" w:lineRule="exact"/>
        <w:rPr>
          <w:sz w:val="20"/>
          <w:szCs w:val="20"/>
          <w:color w:val="auto"/>
        </w:rPr>
      </w:pPr>
    </w:p>
    <w:p>
      <w:pPr>
        <w:ind w:left="260" w:right="80"/>
        <w:spacing w:after="0"/>
        <w:rPr>
          <w:sz w:val="20"/>
          <w:szCs w:val="20"/>
          <w:color w:val="auto"/>
        </w:rPr>
      </w:pPr>
      <w:r>
        <w:rPr>
          <w:rFonts w:ascii="Times New Roman" w:cs="Times New Roman" w:eastAsia="Times New Roman" w:hAnsi="Times New Roman"/>
          <w:sz w:val="24"/>
          <w:szCs w:val="24"/>
          <w:color w:val="auto"/>
        </w:rPr>
        <w:t>The release specification (NMT 2.00%) was set as the sum of the release specifications for all known degradation products and take into account the variability of the analytical method.</w:t>
      </w:r>
    </w:p>
    <w:p>
      <w:pPr>
        <w:ind w:left="260"/>
        <w:spacing w:after="0"/>
        <w:rPr>
          <w:sz w:val="20"/>
          <w:szCs w:val="20"/>
          <w:color w:val="auto"/>
        </w:rPr>
      </w:pPr>
      <w:r>
        <w:rPr>
          <w:rFonts w:ascii="Times New Roman" w:cs="Times New Roman" w:eastAsia="Times New Roman" w:hAnsi="Times New Roman"/>
          <w:sz w:val="24"/>
          <w:szCs w:val="24"/>
          <w:color w:val="auto"/>
        </w:rPr>
        <w:t>All specification limits have been assessed toxicologically.</w:t>
      </w:r>
    </w:p>
    <w:p>
      <w:pPr>
        <w:spacing w:after="0" w:line="200" w:lineRule="exact"/>
        <w:rPr>
          <w:sz w:val="20"/>
          <w:szCs w:val="20"/>
          <w:color w:val="auto"/>
        </w:rPr>
      </w:pPr>
    </w:p>
    <w:p>
      <w:pPr>
        <w:spacing w:after="0" w:line="286" w:lineRule="exact"/>
        <w:rPr>
          <w:sz w:val="20"/>
          <w:szCs w:val="20"/>
          <w:color w:val="auto"/>
        </w:rPr>
      </w:pPr>
    </w:p>
    <w:p>
      <w:pPr>
        <w:ind w:left="260"/>
        <w:spacing w:after="0"/>
        <w:tabs>
          <w:tab w:leader="none" w:pos="1140" w:val="left"/>
        </w:tabs>
        <w:rPr>
          <w:sz w:val="20"/>
          <w:szCs w:val="20"/>
          <w:color w:val="auto"/>
        </w:rPr>
      </w:pPr>
      <w:r>
        <w:rPr>
          <w:rFonts w:ascii="Times New Roman" w:cs="Times New Roman" w:eastAsia="Times New Roman" w:hAnsi="Times New Roman"/>
          <w:sz w:val="24"/>
          <w:szCs w:val="24"/>
          <w:b w:val="1"/>
          <w:bCs w:val="1"/>
          <w:color w:val="auto"/>
        </w:rPr>
        <w:t>2.2</w:t>
      </w:r>
      <w:r>
        <w:rPr>
          <w:sz w:val="20"/>
          <w:szCs w:val="20"/>
          <w:color w:val="auto"/>
        </w:rPr>
        <w:tab/>
      </w:r>
      <w:r>
        <w:rPr>
          <w:rFonts w:ascii="Times New Roman" w:cs="Times New Roman" w:eastAsia="Times New Roman" w:hAnsi="Times New Roman"/>
          <w:sz w:val="24"/>
          <w:szCs w:val="24"/>
          <w:b w:val="1"/>
          <w:bCs w:val="1"/>
          <w:color w:val="auto"/>
        </w:rPr>
        <w:t>ASSAY</w:t>
      </w:r>
    </w:p>
    <w:p>
      <w:pPr>
        <w:spacing w:after="0" w:line="200" w:lineRule="exact"/>
        <w:rPr>
          <w:sz w:val="20"/>
          <w:szCs w:val="20"/>
          <w:color w:val="auto"/>
        </w:rPr>
      </w:pPr>
    </w:p>
    <w:p>
      <w:pPr>
        <w:spacing w:after="0" w:line="224" w:lineRule="exact"/>
        <w:rPr>
          <w:sz w:val="20"/>
          <w:szCs w:val="20"/>
          <w:color w:val="auto"/>
        </w:rPr>
      </w:pPr>
    </w:p>
    <w:p>
      <w:pPr>
        <w:ind w:left="260" w:right="140"/>
        <w:spacing w:after="0" w:line="263" w:lineRule="auto"/>
        <w:rPr>
          <w:sz w:val="20"/>
          <w:szCs w:val="20"/>
          <w:color w:val="auto"/>
        </w:rPr>
      </w:pPr>
      <w:r>
        <w:rPr>
          <w:rFonts w:ascii="Times New Roman" w:cs="Times New Roman" w:eastAsia="Times New Roman" w:hAnsi="Times New Roman"/>
          <w:sz w:val="24"/>
          <w:szCs w:val="24"/>
          <w:color w:val="auto"/>
        </w:rPr>
        <w:t>An active ingredient content test is a basic requirement of all drug products, and is used to control the potency of BEA 2180 BR Respimat</w:t>
      </w:r>
      <w:r>
        <w:rPr>
          <w:rFonts w:ascii="Times New Roman" w:cs="Times New Roman" w:eastAsia="Times New Roman" w:hAnsi="Times New Roman"/>
          <w:sz w:val="31"/>
          <w:szCs w:val="31"/>
          <w:color w:val="auto"/>
          <w:vertAlign w:val="superscript"/>
        </w:rPr>
        <w:t>®</w:t>
      </w:r>
      <w:r>
        <w:rPr>
          <w:rFonts w:ascii="Times New Roman" w:cs="Times New Roman" w:eastAsia="Times New Roman" w:hAnsi="Times New Roman"/>
          <w:sz w:val="24"/>
          <w:szCs w:val="24"/>
          <w:color w:val="auto"/>
        </w:rPr>
        <w:t xml:space="preserve"> solution for inhalation.</w:t>
      </w:r>
    </w:p>
    <w:p>
      <w:pPr>
        <w:spacing w:after="0" w:line="219" w:lineRule="exact"/>
        <w:rPr>
          <w:sz w:val="20"/>
          <w:szCs w:val="20"/>
          <w:color w:val="auto"/>
        </w:rPr>
      </w:pPr>
    </w:p>
    <w:p>
      <w:pPr>
        <w:ind w:left="260" w:right="140"/>
        <w:spacing w:after="0" w:line="247" w:lineRule="auto"/>
        <w:rPr>
          <w:sz w:val="20"/>
          <w:szCs w:val="20"/>
          <w:color w:val="auto"/>
        </w:rPr>
      </w:pPr>
      <w:r>
        <w:rPr>
          <w:rFonts w:ascii="Times New Roman" w:cs="Times New Roman" w:eastAsia="Times New Roman" w:hAnsi="Times New Roman"/>
          <w:sz w:val="24"/>
          <w:szCs w:val="24"/>
          <w:color w:val="auto"/>
        </w:rPr>
        <w:t xml:space="preserve">The shelf-life specifications proposed conform to the standard requirements (90-110%). The release specification limits (100%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5%) take into account the accuracy and precision within production and analysis. The upper specification limit for shelf-life (110%) is higher than for release (105%) to cover the increase in assay observed during in-use stability testing for the inserted cartridge due to evaporation.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97155</wp:posOffset>
                </wp:positionH>
                <wp:positionV relativeFrom="paragraph">
                  <wp:posOffset>1423035</wp:posOffset>
                </wp:positionV>
                <wp:extent cx="582485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112.05pt" to="466.3pt,112.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6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p>
      <w:pPr>
        <w:sectPr>
          <w:pgSz w:w="11900" w:h="16840" w:orient="portrait"/>
          <w:cols w:equalWidth="0" w:num="1">
            <w:col w:w="9060"/>
          </w:cols>
          <w:pgMar w:left="1440" w:top="660" w:right="1400" w:bottom="0" w:gutter="0" w:footer="0" w:header="0"/>
        </w:sectPr>
      </w:pPr>
    </w:p>
    <w:bookmarkStart w:id="5" w:name="page6"/>
    <w:bookmarkEnd w:id="5"/>
    <w:tbl>
      <w:tblPr>
        <w:tblLayout w:type="fixed"/>
        <w:tblInd w:w="240" w:type="dxa"/>
        <w:tblCellMar>
          <w:top w:w="0" w:type="dxa"/>
          <w:left w:w="0" w:type="dxa"/>
          <w:bottom w:w="0" w:type="dxa"/>
          <w:right w:w="0" w:type="dxa"/>
        </w:tblCellMar>
      </w:tblPr>
      <w:tr>
        <w:trPr>
          <w:trHeight w:val="379"/>
        </w:trPr>
        <w:tc>
          <w:tcPr>
            <w:tcW w:w="54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Justification of Specification for the Drug Product</w:t>
            </w:r>
          </w:p>
        </w:tc>
        <w:tc>
          <w:tcPr>
            <w:tcW w:w="184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Internal Number</w:t>
            </w:r>
          </w:p>
        </w:tc>
        <w:tc>
          <w:tcPr>
            <w:tcW w:w="156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Page</w:t>
            </w:r>
          </w:p>
        </w:tc>
      </w:tr>
      <w:tr>
        <w:trPr>
          <w:trHeight w:val="382"/>
        </w:trPr>
        <w:tc>
          <w:tcPr>
            <w:tcW w:w="542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ADD 1358</w:t>
            </w:r>
          </w:p>
        </w:tc>
        <w:tc>
          <w:tcPr>
            <w:tcW w:w="156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6 of 6</w:t>
            </w:r>
          </w:p>
        </w:tc>
      </w:tr>
    </w:tbl>
    <w:p>
      <w:pPr>
        <w:spacing w:after="0" w:line="10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1076960</wp:posOffset>
                </wp:positionH>
                <wp:positionV relativeFrom="page">
                  <wp:posOffset>431800</wp:posOffset>
                </wp:positionV>
                <wp:extent cx="0" cy="69469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4.8pt,34pt" to="84.8pt,88.7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6661150</wp:posOffset>
                </wp:positionH>
                <wp:positionV relativeFrom="page">
                  <wp:posOffset>431800</wp:posOffset>
                </wp:positionV>
                <wp:extent cx="0" cy="69469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469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34pt" to="524.5pt,88.7pt" o:allowincell="f" strokecolor="#000000" strokeweight="0.72pt">
                <w10:wrap anchorx="page" anchory="page"/>
              </v:line>
            </w:pict>
          </mc:Fallback>
        </mc:AlternateContent>
      </w:r>
    </w:p>
    <w:p>
      <w:pPr>
        <w:ind w:left="500"/>
        <w:spacing w:after="0"/>
        <w:rPr>
          <w:sz w:val="20"/>
          <w:szCs w:val="20"/>
          <w:color w:val="auto"/>
        </w:rPr>
      </w:pPr>
      <w:r>
        <w:rPr>
          <w:rFonts w:ascii="Times New Roman" w:cs="Times New Roman" w:eastAsia="Times New Roman" w:hAnsi="Times New Roman"/>
          <w:sz w:val="16"/>
          <w:szCs w:val="16"/>
          <w:color w:val="auto"/>
        </w:rPr>
        <w:t>Proprietary confidential information © 2007 Boehringer Ingelheim International GmbH or one or more of its affiliated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wp:posOffset>
                </wp:positionH>
                <wp:positionV relativeFrom="paragraph">
                  <wp:posOffset>13335</wp:posOffset>
                </wp:positionV>
                <wp:extent cx="5593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30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1.05pt" to="452.85pt,1.05pt" o:allowincell="f" strokecolor="#000000" strokeweight="0.7199pt"/>
            </w:pict>
          </mc:Fallback>
        </mc:AlternateContent>
      </w:r>
    </w:p>
    <w:p>
      <w:pPr>
        <w:spacing w:after="0" w:line="200" w:lineRule="exact"/>
        <w:rPr>
          <w:sz w:val="20"/>
          <w:szCs w:val="20"/>
          <w:color w:val="auto"/>
        </w:rPr>
      </w:pPr>
    </w:p>
    <w:p>
      <w:pPr>
        <w:spacing w:after="0" w:line="302" w:lineRule="exact"/>
        <w:rPr>
          <w:sz w:val="20"/>
          <w:szCs w:val="20"/>
          <w:color w:val="auto"/>
        </w:rPr>
      </w:pPr>
    </w:p>
    <w:p>
      <w:pPr>
        <w:ind w:left="260"/>
        <w:spacing w:after="0"/>
        <w:tabs>
          <w:tab w:leader="none" w:pos="1140" w:val="left"/>
        </w:tabs>
        <w:rPr>
          <w:sz w:val="20"/>
          <w:szCs w:val="20"/>
          <w:color w:val="auto"/>
        </w:rPr>
      </w:pPr>
      <w:r>
        <w:rPr>
          <w:rFonts w:ascii="Times New Roman" w:cs="Times New Roman" w:eastAsia="Times New Roman" w:hAnsi="Times New Roman"/>
          <w:sz w:val="24"/>
          <w:szCs w:val="24"/>
          <w:b w:val="1"/>
          <w:bCs w:val="1"/>
          <w:color w:val="auto"/>
        </w:rPr>
        <w:t>2.3</w:t>
      </w:r>
      <w:r>
        <w:rPr>
          <w:sz w:val="20"/>
          <w:szCs w:val="20"/>
          <w:color w:val="auto"/>
        </w:rPr>
        <w:tab/>
      </w:r>
      <w:r>
        <w:rPr>
          <w:rFonts w:ascii="Times New Roman" w:cs="Times New Roman" w:eastAsia="Times New Roman" w:hAnsi="Times New Roman"/>
          <w:sz w:val="24"/>
          <w:szCs w:val="24"/>
          <w:b w:val="1"/>
          <w:bCs w:val="1"/>
          <w:color w:val="auto"/>
        </w:rPr>
        <w:t>MICROBIOLOGICAL PURITY</w:t>
      </w:r>
    </w:p>
    <w:p>
      <w:pPr>
        <w:spacing w:after="0" w:line="393" w:lineRule="exact"/>
        <w:rPr>
          <w:sz w:val="20"/>
          <w:szCs w:val="20"/>
          <w:color w:val="auto"/>
        </w:rPr>
      </w:pPr>
    </w:p>
    <w:p>
      <w:pPr>
        <w:ind w:left="260" w:right="420"/>
        <w:spacing w:after="0" w:line="236" w:lineRule="auto"/>
        <w:rPr>
          <w:sz w:val="20"/>
          <w:szCs w:val="20"/>
          <w:color w:val="auto"/>
        </w:rPr>
      </w:pPr>
      <w:r>
        <w:rPr>
          <w:rFonts w:ascii="Times New Roman" w:cs="Times New Roman" w:eastAsia="Times New Roman" w:hAnsi="Times New Roman"/>
          <w:sz w:val="24"/>
          <w:szCs w:val="24"/>
          <w:color w:val="auto"/>
        </w:rPr>
        <w:t>The inhalation solution for BEA 2180 BR Respimat</w:t>
      </w:r>
      <w:r>
        <w:rPr>
          <w:rFonts w:ascii="Times New Roman" w:cs="Times New Roman" w:eastAsia="Times New Roman" w:hAnsi="Times New Roman"/>
          <w:sz w:val="31"/>
          <w:szCs w:val="31"/>
          <w:color w:val="auto"/>
          <w:vertAlign w:val="superscript"/>
        </w:rPr>
        <w:t>®</w:t>
      </w:r>
      <w:r>
        <w:rPr>
          <w:rFonts w:ascii="Times New Roman" w:cs="Times New Roman" w:eastAsia="Times New Roman" w:hAnsi="Times New Roman"/>
          <w:sz w:val="24"/>
          <w:szCs w:val="24"/>
          <w:color w:val="auto"/>
        </w:rPr>
        <w:t xml:space="preserve"> will be tested for microbiological purity in accordance with the requirements for category 2 from the current edition of Ph. Eur.</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1160" w:right="60" w:hanging="906"/>
        <w:spacing w:after="0" w:line="276" w:lineRule="auto"/>
        <w:tabs>
          <w:tab w:leader="none" w:pos="1140" w:val="left"/>
        </w:tabs>
        <w:rPr>
          <w:sz w:val="20"/>
          <w:szCs w:val="20"/>
          <w:color w:val="auto"/>
        </w:rPr>
      </w:pPr>
      <w:r>
        <w:rPr>
          <w:rFonts w:ascii="Times New Roman" w:cs="Times New Roman" w:eastAsia="Times New Roman" w:hAnsi="Times New Roman"/>
          <w:sz w:val="24"/>
          <w:szCs w:val="24"/>
          <w:b w:val="1"/>
          <w:bCs w:val="1"/>
          <w:color w:val="auto"/>
        </w:rPr>
        <w:t>2.4</w:t>
      </w:r>
      <w:r>
        <w:rPr>
          <w:sz w:val="20"/>
          <w:szCs w:val="20"/>
          <w:color w:val="auto"/>
        </w:rPr>
        <w:tab/>
      </w:r>
      <w:r>
        <w:rPr>
          <w:rFonts w:ascii="Times New Roman" w:cs="Times New Roman" w:eastAsia="Times New Roman" w:hAnsi="Times New Roman"/>
          <w:sz w:val="24"/>
          <w:szCs w:val="24"/>
          <w:b w:val="1"/>
          <w:bCs w:val="1"/>
          <w:color w:val="auto"/>
        </w:rPr>
        <w:t>SPRAY CONTENT UNIFORMITY AND UNIFORMITY OF DELIVERED DOSE</w:t>
      </w:r>
    </w:p>
    <w:p>
      <w:pPr>
        <w:spacing w:after="0" w:line="161" w:lineRule="exact"/>
        <w:rPr>
          <w:sz w:val="20"/>
          <w:szCs w:val="20"/>
          <w:color w:val="auto"/>
        </w:rPr>
      </w:pPr>
    </w:p>
    <w:p>
      <w:pPr>
        <w:ind w:left="260" w:right="120"/>
        <w:spacing w:after="0" w:line="247" w:lineRule="auto"/>
        <w:rPr>
          <w:sz w:val="20"/>
          <w:szCs w:val="20"/>
          <w:color w:val="auto"/>
        </w:rPr>
      </w:pPr>
      <w:r>
        <w:rPr>
          <w:rFonts w:ascii="Times New Roman" w:cs="Times New Roman" w:eastAsia="Times New Roman" w:hAnsi="Times New Roman"/>
          <w:sz w:val="24"/>
          <w:szCs w:val="24"/>
          <w:color w:val="auto"/>
        </w:rPr>
        <w:t>The test parameters "Spray content uniformity" (1 dose from the start of 10 inhalers each). and "Uniformity of Delivered Dose"(10 doses spread over one inhaler; 3-4-3 test) reflect the intra- and inter-inhaler variability as required by the EMEA Guideline on the Pharmaceutical Quality of Inhalation and Nasal Products. The acceptance criteria are consistent with the Pharm. Eur. (monograph 0671, preparations for inhalation).</w:t>
      </w:r>
    </w:p>
    <w:p>
      <w:pPr>
        <w:spacing w:after="0" w:line="200" w:lineRule="exact"/>
        <w:rPr>
          <w:sz w:val="20"/>
          <w:szCs w:val="20"/>
          <w:color w:val="auto"/>
        </w:rPr>
      </w:pPr>
    </w:p>
    <w:p>
      <w:pPr>
        <w:spacing w:after="0" w:line="272" w:lineRule="exact"/>
        <w:rPr>
          <w:sz w:val="20"/>
          <w:szCs w:val="20"/>
          <w:color w:val="auto"/>
        </w:rPr>
      </w:pPr>
    </w:p>
    <w:p>
      <w:pPr>
        <w:ind w:left="260"/>
        <w:spacing w:after="0"/>
        <w:tabs>
          <w:tab w:leader="none" w:pos="1140" w:val="left"/>
        </w:tabs>
        <w:rPr>
          <w:sz w:val="20"/>
          <w:szCs w:val="20"/>
          <w:color w:val="auto"/>
        </w:rPr>
      </w:pPr>
      <w:r>
        <w:rPr>
          <w:rFonts w:ascii="Times New Roman" w:cs="Times New Roman" w:eastAsia="Times New Roman" w:hAnsi="Times New Roman"/>
          <w:sz w:val="24"/>
          <w:szCs w:val="24"/>
          <w:b w:val="1"/>
          <w:bCs w:val="1"/>
          <w:color w:val="auto"/>
        </w:rPr>
        <w:t>2.5</w:t>
      </w:r>
      <w:r>
        <w:rPr>
          <w:sz w:val="20"/>
          <w:szCs w:val="20"/>
          <w:color w:val="auto"/>
        </w:rPr>
        <w:tab/>
      </w:r>
      <w:r>
        <w:rPr>
          <w:rFonts w:ascii="Times New Roman" w:cs="Times New Roman" w:eastAsia="Times New Roman" w:hAnsi="Times New Roman"/>
          <w:sz w:val="24"/>
          <w:szCs w:val="24"/>
          <w:b w:val="1"/>
          <w:bCs w:val="1"/>
          <w:color w:val="auto"/>
        </w:rPr>
        <w:t>AERODYNAMIC FINE PARTICLE DOSE</w:t>
      </w:r>
    </w:p>
    <w:p>
      <w:pPr>
        <w:spacing w:after="0" w:line="244" w:lineRule="exact"/>
        <w:rPr>
          <w:sz w:val="20"/>
          <w:szCs w:val="20"/>
          <w:color w:val="auto"/>
        </w:rPr>
      </w:pPr>
    </w:p>
    <w:p>
      <w:pPr>
        <w:ind w:left="260" w:right="140"/>
        <w:spacing w:after="0" w:line="245" w:lineRule="auto"/>
        <w:rPr>
          <w:sz w:val="20"/>
          <w:szCs w:val="20"/>
          <w:color w:val="auto"/>
        </w:rPr>
      </w:pPr>
      <w:r>
        <w:rPr>
          <w:rFonts w:ascii="Times New Roman" w:cs="Times New Roman" w:eastAsia="Times New Roman" w:hAnsi="Times New Roman"/>
          <w:sz w:val="24"/>
          <w:szCs w:val="24"/>
          <w:color w:val="auto"/>
        </w:rPr>
        <w:t>A determination of the fine particle mass is required according to the EMEA Guideline on the Pharmaceutical Quality of Inhalation and Nasal Products. The test parameter will be performed according to Pharm. Eur. (monograph 0671, preparations for inhalation) by using an ACI as well as by laser diffraction.</w:t>
      </w:r>
    </w:p>
    <w:p>
      <w:pPr>
        <w:spacing w:after="0" w:line="3" w:lineRule="exact"/>
        <w:rPr>
          <w:sz w:val="20"/>
          <w:szCs w:val="20"/>
          <w:color w:val="auto"/>
        </w:rPr>
      </w:pPr>
    </w:p>
    <w:p>
      <w:pPr>
        <w:ind w:left="260" w:right="180"/>
        <w:spacing w:after="0" w:line="242" w:lineRule="auto"/>
        <w:rPr>
          <w:sz w:val="20"/>
          <w:szCs w:val="20"/>
          <w:color w:val="auto"/>
        </w:rPr>
      </w:pPr>
      <w:r>
        <w:rPr>
          <w:rFonts w:ascii="Times New Roman" w:cs="Times New Roman" w:eastAsia="Times New Roman" w:hAnsi="Times New Roman"/>
          <w:sz w:val="24"/>
          <w:szCs w:val="24"/>
          <w:color w:val="auto"/>
        </w:rPr>
        <w:t>Acceptance criteria for aerodynamic fine particle dose ≤ 5.0 µm (ACI) / fine particle fraction ≤ 5.0 µm (laser diffraction) will be set based on statistical evaluation of results derived from batches used in in vivo studies as well as stability studies. No sufficient data base is available yet.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97155</wp:posOffset>
                </wp:positionH>
                <wp:positionV relativeFrom="paragraph">
                  <wp:posOffset>3731895</wp:posOffset>
                </wp:positionV>
                <wp:extent cx="582485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248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293.85pt" to="466.3pt,293.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8"/>
          <w:szCs w:val="18"/>
          <w:b w:val="1"/>
          <w:bCs w:val="1"/>
          <w:color w:val="auto"/>
        </w:rPr>
        <w:t>Investigational Medicinal Product Documentation</w:t>
      </w:r>
    </w:p>
    <w:p>
      <w:pPr>
        <w:ind w:left="260"/>
        <w:spacing w:after="0" w:line="230" w:lineRule="auto"/>
        <w:rPr>
          <w:sz w:val="20"/>
          <w:szCs w:val="20"/>
          <w:color w:val="auto"/>
        </w:rPr>
      </w:pPr>
      <w:r>
        <w:rPr>
          <w:rFonts w:ascii="Times New Roman" w:cs="Times New Roman" w:eastAsia="Times New Roman" w:hAnsi="Times New Roman"/>
          <w:sz w:val="18"/>
          <w:szCs w:val="18"/>
          <w:b w:val="1"/>
          <w:bCs w:val="1"/>
          <w:color w:val="auto"/>
        </w:rPr>
        <w:t>BEA 2180 BR – Version 01 (trial 1205.14)</w:t>
      </w:r>
    </w:p>
    <w:sectPr>
      <w:pgSz w:w="11900" w:h="16840" w:orient="portrait"/>
      <w:cols w:equalWidth="0" w:num="1">
        <w:col w:w="9060"/>
      </w:cols>
      <w:pgMar w:left="1440" w:top="660" w:right="140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5F90"/>
    <w:multiLevelType w:val="hybridMultilevel"/>
    <w:lvl w:ilvl="0">
      <w:lvlJc w:val="left"/>
      <w:lvlText w:val="%1."/>
      <w:numFmt w:val="decimal"/>
      <w:start w:val="1"/>
    </w:lvl>
  </w:abstractNum>
  <w:abstractNum w:abstractNumId="1">
    <w:nsid w:val="1649"/>
    <w:multiLevelType w:val="hybridMultilevel"/>
    <w:lvl w:ilvl="0">
      <w:lvlJc w:val="left"/>
      <w:lvlText w:val="-"/>
      <w:numFmt w:val="bullet"/>
      <w:start w:val="1"/>
    </w:lvl>
  </w:abstractNum>
  <w:abstractNum w:abstractNumId="2">
    <w:nsid w:val="6DF1"/>
    <w:multiLevelType w:val="hybridMultilevel"/>
    <w:lvl w:ilvl="0">
      <w:lvlJc w:val="left"/>
      <w:lvlText w:val="%1."/>
      <w:numFmt w:val="decimal"/>
      <w:start w:val="2"/>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2019-01-07T14:48:01Z</dcterms:created>
  <dcterms:modified xsi:type="dcterms:W3CDTF">2019-01-07T14:48:01Z</dcterms:modified>
</cp:coreProperties>
</file>