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95FD" w14:textId="77777777" w:rsidR="00255C6B" w:rsidRPr="00812777" w:rsidRDefault="001240B4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Mirixa</w:t>
      </w:r>
      <w:proofErr w:type="spellEnd"/>
    </w:p>
    <w:p w14:paraId="32E6E6B3" w14:textId="77777777" w:rsidR="002B5D6C" w:rsidRDefault="00B13B31" w:rsidP="002B5D6C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526157921" w:history="1">
        <w:r w:rsidR="002B5D6C" w:rsidRPr="0049775A">
          <w:rPr>
            <w:rStyle w:val="Hyperlink"/>
            <w:rFonts w:ascii="Verdana" w:hAnsi="Verdana"/>
            <w:noProof/>
          </w:rPr>
          <w:t>Overview</w:t>
        </w:r>
      </w:hyperlink>
    </w:p>
    <w:p w14:paraId="5F2D280F" w14:textId="77777777" w:rsidR="008B69C1" w:rsidRPr="008B69C1" w:rsidRDefault="00B13B31" w:rsidP="0046239E">
      <w:pPr>
        <w:pStyle w:val="TOC2"/>
        <w:tabs>
          <w:tab w:val="right" w:leader="dot" w:pos="12950"/>
        </w:tabs>
        <w:ind w:left="0"/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1765D8A0" w14:textId="77777777" w:rsidTr="001240B4">
        <w:tc>
          <w:tcPr>
            <w:tcW w:w="5000" w:type="pct"/>
            <w:shd w:val="clear" w:color="auto" w:fill="C0C0C0"/>
          </w:tcPr>
          <w:p w14:paraId="6266A8C7" w14:textId="77777777" w:rsidR="005A64DA" w:rsidRPr="0064267B" w:rsidRDefault="005A64DA" w:rsidP="0064267B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526157921"/>
            <w:bookmarkEnd w:id="1"/>
            <w:r w:rsidRPr="0064267B">
              <w:rPr>
                <w:rFonts w:ascii="Verdana" w:hAnsi="Verdana"/>
                <w:i w:val="0"/>
                <w:iCs w:val="0"/>
              </w:rPr>
              <w:t>Overview</w:t>
            </w:r>
            <w:bookmarkEnd w:id="2"/>
            <w:r w:rsidRPr="0064267B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9342F0B" w14:textId="3CDDCBB0" w:rsidR="00313768" w:rsidRDefault="00DE7950" w:rsidP="001240B4">
      <w:pPr>
        <w:autoSpaceDE w:val="0"/>
        <w:autoSpaceDN w:val="0"/>
        <w:adjustRightInd w:val="0"/>
        <w:rPr>
          <w:rFonts w:ascii="Verdana" w:hAnsi="Verdana" w:cs="Calibri"/>
        </w:rPr>
      </w:pPr>
      <w:proofErr w:type="spellStart"/>
      <w:r>
        <w:rPr>
          <w:rFonts w:ascii="Verdana" w:hAnsi="Verdana" w:cs="Calibri"/>
        </w:rPr>
        <w:t>Mirixia</w:t>
      </w:r>
      <w:proofErr w:type="spellEnd"/>
      <w:r>
        <w:rPr>
          <w:rFonts w:ascii="Verdana" w:hAnsi="Verdana" w:cs="Calibri"/>
        </w:rPr>
        <w:t xml:space="preserve"> is a </w:t>
      </w:r>
      <w:r w:rsidR="00795B81">
        <w:rPr>
          <w:rFonts w:ascii="Verdana" w:hAnsi="Verdana" w:cs="Calibri"/>
        </w:rPr>
        <w:t xml:space="preserve">CVS Caremark </w:t>
      </w:r>
      <w:r>
        <w:rPr>
          <w:rFonts w:ascii="Verdana" w:hAnsi="Verdana" w:cs="Calibri"/>
        </w:rPr>
        <w:t xml:space="preserve">vendor that we </w:t>
      </w:r>
      <w:r w:rsidR="00795B81">
        <w:rPr>
          <w:rFonts w:ascii="Verdana" w:hAnsi="Verdana" w:cs="Calibri"/>
        </w:rPr>
        <w:t>partner</w:t>
      </w:r>
      <w:r>
        <w:rPr>
          <w:rFonts w:ascii="Verdana" w:hAnsi="Verdana" w:cs="Calibri"/>
        </w:rPr>
        <w:t xml:space="preserve"> with </w:t>
      </w:r>
      <w:r w:rsidR="00C15164">
        <w:rPr>
          <w:rFonts w:ascii="Verdana" w:hAnsi="Verdana" w:cs="Calibri"/>
        </w:rPr>
        <w:t xml:space="preserve">to provide </w:t>
      </w:r>
      <w:r w:rsidR="00313768">
        <w:rPr>
          <w:rFonts w:ascii="Verdana" w:hAnsi="Verdana" w:cs="Calibri"/>
        </w:rPr>
        <w:t>pharmacies</w:t>
      </w:r>
      <w:r w:rsidR="00C15164">
        <w:rPr>
          <w:rFonts w:ascii="Verdana" w:hAnsi="Verdana" w:cs="Calibri"/>
        </w:rPr>
        <w:t xml:space="preserve"> a tool that can help</w:t>
      </w:r>
      <w:r w:rsidR="00313768">
        <w:rPr>
          <w:rFonts w:ascii="Verdana" w:hAnsi="Verdana" w:cs="Calibri"/>
        </w:rPr>
        <w:t>:</w:t>
      </w:r>
    </w:p>
    <w:p w14:paraId="21FD8653" w14:textId="363CB728" w:rsidR="00313768" w:rsidRDefault="007F26C5" w:rsidP="003137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 xml:space="preserve">Deliver </w:t>
      </w:r>
      <w:r w:rsidR="00C15164" w:rsidRPr="00313768">
        <w:rPr>
          <w:rFonts w:ascii="Verdana" w:hAnsi="Verdana" w:cs="Calibri"/>
        </w:rPr>
        <w:t xml:space="preserve">and document drug </w:t>
      </w:r>
      <w:r w:rsidR="00313768" w:rsidRPr="00313768">
        <w:rPr>
          <w:rFonts w:ascii="Verdana" w:hAnsi="Verdana" w:cs="Calibri"/>
        </w:rPr>
        <w:t>therapy</w:t>
      </w:r>
      <w:r w:rsidR="00C15164" w:rsidRPr="00313768">
        <w:rPr>
          <w:rFonts w:ascii="Verdana" w:hAnsi="Verdana" w:cs="Calibri"/>
        </w:rPr>
        <w:t xml:space="preserve"> intervention </w:t>
      </w:r>
      <w:r w:rsidR="00313768" w:rsidRPr="00313768">
        <w:rPr>
          <w:rFonts w:ascii="Verdana" w:hAnsi="Verdana" w:cs="Calibri"/>
        </w:rPr>
        <w:t xml:space="preserve">opportunities </w:t>
      </w:r>
    </w:p>
    <w:p w14:paraId="1616E304" w14:textId="77777777" w:rsidR="002E0C59" w:rsidRDefault="00313768" w:rsidP="003137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>R</w:t>
      </w:r>
      <w:r w:rsidRPr="00313768">
        <w:rPr>
          <w:rFonts w:ascii="Verdana" w:hAnsi="Verdana" w:cs="Calibri"/>
        </w:rPr>
        <w:t xml:space="preserve">educe health care costs </w:t>
      </w:r>
      <w:r w:rsidR="002E0C59" w:rsidRPr="00313768">
        <w:rPr>
          <w:rFonts w:ascii="Verdana" w:hAnsi="Verdana" w:cs="Calibri"/>
        </w:rPr>
        <w:t>thro</w:t>
      </w:r>
      <w:r w:rsidR="002E0C59">
        <w:rPr>
          <w:rFonts w:ascii="Verdana" w:hAnsi="Verdana" w:cs="Calibri"/>
        </w:rPr>
        <w:t>ugh</w:t>
      </w:r>
      <w:r>
        <w:rPr>
          <w:rFonts w:ascii="Verdana" w:hAnsi="Verdana" w:cs="Calibri"/>
        </w:rPr>
        <w:t xml:space="preserve"> pharmacy-focused management for chronic conditions</w:t>
      </w:r>
      <w:r w:rsidR="00C15164" w:rsidRPr="00313768">
        <w:rPr>
          <w:rFonts w:ascii="Verdana" w:hAnsi="Verdana" w:cs="Calibri"/>
        </w:rPr>
        <w:t xml:space="preserve"> </w:t>
      </w:r>
    </w:p>
    <w:p w14:paraId="070FC129" w14:textId="524B401D" w:rsidR="001240B4" w:rsidRDefault="002E0C59" w:rsidP="0047408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>Clos</w:t>
      </w:r>
      <w:r w:rsidR="007F26C5">
        <w:rPr>
          <w:rFonts w:ascii="Verdana" w:hAnsi="Verdana" w:cs="Calibri"/>
        </w:rPr>
        <w:t>e</w:t>
      </w:r>
      <w:r>
        <w:rPr>
          <w:rFonts w:ascii="Verdana" w:hAnsi="Verdana" w:cs="Calibri"/>
        </w:rPr>
        <w:t xml:space="preserve"> gaps in care and improve adherence</w:t>
      </w:r>
    </w:p>
    <w:p w14:paraId="0271F7EC" w14:textId="77777777" w:rsidR="002E0C59" w:rsidRDefault="002E0C59" w:rsidP="002E0C59">
      <w:pPr>
        <w:autoSpaceDE w:val="0"/>
        <w:autoSpaceDN w:val="0"/>
        <w:adjustRightInd w:val="0"/>
        <w:rPr>
          <w:rFonts w:ascii="Verdana" w:hAnsi="Verdana" w:cs="Calibri"/>
        </w:rPr>
      </w:pPr>
    </w:p>
    <w:p w14:paraId="75B067BF" w14:textId="7F9974C9" w:rsidR="00C17C77" w:rsidRDefault="00C17C77" w:rsidP="001240B4">
      <w:p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 xml:space="preserve">There are two Programs: </w:t>
      </w:r>
      <w:r w:rsidR="00E0006C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Pharmacy Advisor and Performance Network Program that utilize this tool to help Pharmacists counsel the beneficiary about ways to better manage their specific condition(s) through proper prescription drug therapy.</w:t>
      </w:r>
    </w:p>
    <w:p w14:paraId="3615E63D" w14:textId="77777777" w:rsidR="009106F3" w:rsidRDefault="009106F3" w:rsidP="001240B4">
      <w:pPr>
        <w:autoSpaceDE w:val="0"/>
        <w:autoSpaceDN w:val="0"/>
        <w:adjustRightInd w:val="0"/>
        <w:rPr>
          <w:rFonts w:ascii="Verdana" w:hAnsi="Verdana" w:cs="Calibri"/>
        </w:rPr>
      </w:pPr>
    </w:p>
    <w:p w14:paraId="0B88FC5B" w14:textId="29DF890D" w:rsidR="001240B4" w:rsidRDefault="009106F3" w:rsidP="001240B4">
      <w:p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 xml:space="preserve">If the beneficiary is requesting to contact </w:t>
      </w:r>
      <w:proofErr w:type="spellStart"/>
      <w:r>
        <w:rPr>
          <w:rFonts w:ascii="Verdana" w:hAnsi="Verdana" w:cs="Calibri"/>
        </w:rPr>
        <w:t>Mirixa</w:t>
      </w:r>
      <w:proofErr w:type="spellEnd"/>
      <w:r>
        <w:rPr>
          <w:rFonts w:ascii="Verdana" w:hAnsi="Verdana" w:cs="Calibri"/>
        </w:rPr>
        <w:t>, refer them to the number that was provided in the init</w:t>
      </w:r>
      <w:r w:rsidR="00E0006C">
        <w:rPr>
          <w:rFonts w:ascii="Verdana" w:hAnsi="Verdana" w:cs="Calibri"/>
        </w:rPr>
        <w:t xml:space="preserve">ial communication from </w:t>
      </w:r>
      <w:proofErr w:type="spellStart"/>
      <w:r w:rsidR="00E0006C">
        <w:rPr>
          <w:rFonts w:ascii="Verdana" w:hAnsi="Verdana" w:cs="Calibri"/>
        </w:rPr>
        <w:t>Mirixa</w:t>
      </w:r>
      <w:proofErr w:type="spellEnd"/>
      <w:r w:rsidR="00E0006C">
        <w:rPr>
          <w:rFonts w:ascii="Verdana" w:hAnsi="Verdana" w:cs="Calibri"/>
        </w:rPr>
        <w:t xml:space="preserve">. </w:t>
      </w:r>
      <w:proofErr w:type="spellStart"/>
      <w:r>
        <w:rPr>
          <w:rFonts w:ascii="Verdana" w:hAnsi="Verdana" w:cs="Calibri"/>
        </w:rPr>
        <w:t>Mirixa’s</w:t>
      </w:r>
      <w:proofErr w:type="spellEnd"/>
      <w:r>
        <w:rPr>
          <w:rFonts w:ascii="Verdana" w:hAnsi="Verdana" w:cs="Calibri"/>
        </w:rPr>
        <w:t xml:space="preserve"> phone number varies depending on the program and the client</w:t>
      </w:r>
      <w:r w:rsidR="00C61CED">
        <w:rPr>
          <w:rFonts w:ascii="Verdana" w:hAnsi="Verdana" w:cs="Calibri"/>
        </w:rPr>
        <w:t>.</w:t>
      </w:r>
    </w:p>
    <w:p w14:paraId="38D9BF1A" w14:textId="77777777" w:rsidR="00C61CED" w:rsidRPr="001240B4" w:rsidRDefault="00C61CED" w:rsidP="001240B4">
      <w:pPr>
        <w:autoSpaceDE w:val="0"/>
        <w:autoSpaceDN w:val="0"/>
        <w:adjustRightInd w:val="0"/>
        <w:rPr>
          <w:rFonts w:ascii="Verdana" w:hAnsi="Verdana" w:cs="Calibri"/>
        </w:rPr>
      </w:pPr>
    </w:p>
    <w:p w14:paraId="2145ED2D" w14:textId="77777777" w:rsidR="001240B4" w:rsidRPr="001240B4" w:rsidRDefault="001240B4" w:rsidP="001240B4">
      <w:pPr>
        <w:autoSpaceDE w:val="0"/>
        <w:autoSpaceDN w:val="0"/>
        <w:adjustRightInd w:val="0"/>
        <w:rPr>
          <w:rFonts w:ascii="Verdana" w:hAnsi="Verdana" w:cs="Calibri"/>
        </w:rPr>
      </w:pPr>
      <w:r w:rsidRPr="001240B4">
        <w:rPr>
          <w:rFonts w:ascii="Verdana" w:hAnsi="Verdana" w:cs="Calibri"/>
        </w:rPr>
        <w:t>This program may also be referred to by the following names:</w:t>
      </w:r>
    </w:p>
    <w:p w14:paraId="12A8A115" w14:textId="77777777" w:rsidR="001240B4" w:rsidRPr="001240B4" w:rsidRDefault="001240B4" w:rsidP="001240B4">
      <w:pPr>
        <w:autoSpaceDE w:val="0"/>
        <w:autoSpaceDN w:val="0"/>
        <w:adjustRightInd w:val="0"/>
        <w:rPr>
          <w:rFonts w:ascii="Verdana" w:hAnsi="Verdana" w:cs="Calibri"/>
        </w:rPr>
      </w:pPr>
    </w:p>
    <w:p w14:paraId="6A384BEA" w14:textId="77777777" w:rsidR="007F26C5" w:rsidRDefault="007F26C5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>CVSC Performance Network Program</w:t>
      </w:r>
    </w:p>
    <w:p w14:paraId="0CC52D12" w14:textId="77777777" w:rsidR="007F26C5" w:rsidRDefault="007F26C5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>
        <w:rPr>
          <w:rFonts w:ascii="Verdana" w:hAnsi="Verdana" w:cs="Calibri"/>
        </w:rPr>
        <w:t xml:space="preserve">SSI Performance Network Program </w:t>
      </w:r>
    </w:p>
    <w:p w14:paraId="035ED5F2" w14:textId="59575D5C" w:rsidR="007F26C5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0B46DE">
        <w:rPr>
          <w:rFonts w:ascii="Verdana" w:hAnsi="Verdana" w:cs="Calibri"/>
        </w:rPr>
        <w:t>Pharmacy Advisor Medicare Part D Program</w:t>
      </w:r>
    </w:p>
    <w:p w14:paraId="6842668D" w14:textId="006BF1BF" w:rsidR="001240B4" w:rsidRPr="001240B4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0B46DE">
        <w:rPr>
          <w:rFonts w:ascii="Verdana" w:hAnsi="Verdana" w:cs="Calibri"/>
        </w:rPr>
        <w:t>CVS Caremark SilverScript Star Ratings Program</w:t>
      </w:r>
    </w:p>
    <w:p w14:paraId="56650D8E" w14:textId="07B63BCC" w:rsidR="001240B4" w:rsidRPr="001240B4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0B46DE">
        <w:rPr>
          <w:rFonts w:ascii="Verdana" w:hAnsi="Verdana" w:cs="Calibri"/>
        </w:rPr>
        <w:t>CVS Caremark Medicare Part D Star Ratings Program</w:t>
      </w:r>
    </w:p>
    <w:p w14:paraId="7DC5F4B9" w14:textId="77777777" w:rsidR="001240B4" w:rsidRPr="001240B4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1240B4">
        <w:rPr>
          <w:rFonts w:ascii="Verdana" w:hAnsi="Verdana" w:cs="Calibri"/>
        </w:rPr>
        <w:t>CVS Caremark Adherence Improvement Program</w:t>
      </w:r>
    </w:p>
    <w:p w14:paraId="2E4A4BE1" w14:textId="6C04AF9D" w:rsidR="001240B4" w:rsidRPr="001240B4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0B46DE">
        <w:rPr>
          <w:rFonts w:ascii="Verdana" w:hAnsi="Verdana" w:cs="Calibri"/>
        </w:rPr>
        <w:t>Pharmacy Advisor Counseling Retail All Channels</w:t>
      </w:r>
    </w:p>
    <w:p w14:paraId="734DB527" w14:textId="77777777" w:rsidR="001240B4" w:rsidRPr="001240B4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1240B4">
        <w:rPr>
          <w:rFonts w:ascii="Verdana" w:hAnsi="Verdana" w:cs="Calibri"/>
        </w:rPr>
        <w:t>Pharmacy Advisor Counseling – Network Expansion Program</w:t>
      </w:r>
    </w:p>
    <w:p w14:paraId="072B7EC6" w14:textId="77777777" w:rsidR="001240B4" w:rsidRPr="001240B4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1240B4">
        <w:rPr>
          <w:rFonts w:ascii="Verdana" w:hAnsi="Verdana" w:cs="Calibri"/>
        </w:rPr>
        <w:t>Pharmacy Advisor Expansion Program</w:t>
      </w:r>
    </w:p>
    <w:p w14:paraId="2AAB3119" w14:textId="77777777" w:rsidR="001240B4" w:rsidRPr="001240B4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1240B4">
        <w:rPr>
          <w:rFonts w:ascii="Verdana" w:hAnsi="Verdana" w:cs="Calibri"/>
        </w:rPr>
        <w:t>Pharmacy Advisor Non CVS Program</w:t>
      </w:r>
    </w:p>
    <w:p w14:paraId="04874448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Pharmacy Advisor Other Networks Program</w:t>
      </w:r>
    </w:p>
    <w:p w14:paraId="54533A79" w14:textId="77777777" w:rsidR="002B5D6C" w:rsidRPr="00E0006C" w:rsidRDefault="002B5D6C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Pharmacy Network Program</w:t>
      </w:r>
    </w:p>
    <w:p w14:paraId="17F71644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Other Networks Program</w:t>
      </w:r>
    </w:p>
    <w:p w14:paraId="7D1DEE2A" w14:textId="29CFB70E" w:rsidR="001240B4" w:rsidRPr="00E0006C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Medication Adherence Program</w:t>
      </w:r>
    </w:p>
    <w:p w14:paraId="0046BBB2" w14:textId="046A7286" w:rsidR="001240B4" w:rsidRPr="00E0006C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Adherence Program</w:t>
      </w:r>
    </w:p>
    <w:p w14:paraId="349B47A6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Retail All Channels Program</w:t>
      </w:r>
    </w:p>
    <w:p w14:paraId="441876AF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SilverScript Program</w:t>
      </w:r>
    </w:p>
    <w:p w14:paraId="798DF575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SilverScript Medication Adherence Program</w:t>
      </w:r>
    </w:p>
    <w:p w14:paraId="560E7A32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SilverScript Adherence Program</w:t>
      </w:r>
    </w:p>
    <w:p w14:paraId="0472B133" w14:textId="563D8797" w:rsidR="001240B4" w:rsidRPr="00E0006C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SilverScript Stars program</w:t>
      </w:r>
    </w:p>
    <w:p w14:paraId="3F04AD9F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SilverScript Performance program</w:t>
      </w:r>
    </w:p>
    <w:p w14:paraId="31857A2A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Extend Pharmacy Advisor to Other Networks</w:t>
      </w:r>
    </w:p>
    <w:p w14:paraId="68AC6915" w14:textId="59F22C21" w:rsidR="001240B4" w:rsidRPr="00E0006C" w:rsidRDefault="000B46DE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Stars Program</w:t>
      </w:r>
    </w:p>
    <w:p w14:paraId="394843F0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Unlock Adherence</w:t>
      </w:r>
    </w:p>
    <w:p w14:paraId="24632AF3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Pay 4 Performance program</w:t>
      </w:r>
    </w:p>
    <w:p w14:paraId="0B73812D" w14:textId="77777777" w:rsidR="001240B4" w:rsidRPr="00E0006C" w:rsidRDefault="001240B4" w:rsidP="001240B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Calibri"/>
        </w:rPr>
      </w:pPr>
      <w:r w:rsidRPr="00E0006C">
        <w:rPr>
          <w:rFonts w:ascii="Verdana" w:hAnsi="Verdana" w:cs="Calibri"/>
        </w:rPr>
        <w:t>Pay-per-intervention program</w:t>
      </w:r>
    </w:p>
    <w:p w14:paraId="21BCB52F" w14:textId="77777777" w:rsidR="000B46DE" w:rsidRPr="00E0006C" w:rsidRDefault="000B46DE" w:rsidP="00777254">
      <w:pPr>
        <w:jc w:val="right"/>
        <w:rPr>
          <w:rFonts w:ascii="Verdana" w:hAnsi="Verdana"/>
        </w:rPr>
      </w:pPr>
      <w:bookmarkStart w:id="3" w:name="_Rationale"/>
      <w:bookmarkStart w:id="4" w:name="_Definitions"/>
      <w:bookmarkStart w:id="5" w:name="_Definitions/Abbreviations"/>
      <w:bookmarkEnd w:id="3"/>
      <w:bookmarkEnd w:id="4"/>
      <w:bookmarkEnd w:id="5"/>
    </w:p>
    <w:p w14:paraId="5F7F8744" w14:textId="603C263D" w:rsidR="000B46DE" w:rsidRPr="00E0006C" w:rsidRDefault="000B46DE" w:rsidP="000B46DE">
      <w:pPr>
        <w:rPr>
          <w:rFonts w:ascii="Verdana" w:hAnsi="Verdana"/>
        </w:rPr>
      </w:pPr>
      <w:r w:rsidRPr="00E0006C">
        <w:rPr>
          <w:rFonts w:ascii="Verdana" w:hAnsi="Verdana"/>
        </w:rPr>
        <w:t>Refer to the following documents for more information:</w:t>
      </w:r>
    </w:p>
    <w:p w14:paraId="3A253936" w14:textId="72D11AA1" w:rsidR="000B46DE" w:rsidRPr="00E0006C" w:rsidRDefault="00CE0A68" w:rsidP="000B46DE">
      <w:pPr>
        <w:pStyle w:val="ListParagraph"/>
        <w:numPr>
          <w:ilvl w:val="0"/>
          <w:numId w:val="8"/>
        </w:numPr>
        <w:rPr>
          <w:rFonts w:ascii="Verdana" w:hAnsi="Verdana"/>
        </w:rPr>
      </w:pPr>
      <w:hyperlink r:id="rId8" w:history="1">
        <w:r w:rsidR="00B15F8C" w:rsidRPr="00E0006C">
          <w:rPr>
            <w:rStyle w:val="Hyperlink"/>
            <w:rFonts w:ascii="Verdana" w:hAnsi="Verdana"/>
          </w:rPr>
          <w:t>Health Engagement Engine (HEE) – View Opportunities</w:t>
        </w:r>
      </w:hyperlink>
    </w:p>
    <w:p w14:paraId="0AD21C57" w14:textId="5E51E410" w:rsidR="000B46DE" w:rsidRPr="00E0006C" w:rsidRDefault="00CE0A68" w:rsidP="000B46DE">
      <w:pPr>
        <w:pStyle w:val="ListParagraph"/>
        <w:numPr>
          <w:ilvl w:val="0"/>
          <w:numId w:val="8"/>
        </w:numPr>
        <w:rPr>
          <w:rFonts w:ascii="Verdana" w:hAnsi="Verdana"/>
        </w:rPr>
      </w:pPr>
      <w:hyperlink r:id="rId9" w:history="1">
        <w:r w:rsidR="000B46DE" w:rsidRPr="00E0006C">
          <w:rPr>
            <w:rStyle w:val="Hyperlink"/>
            <w:rFonts w:ascii="Verdana" w:hAnsi="Verdana"/>
          </w:rPr>
          <w:t>Adherence to Drug Therapy (ADT) Program Overview and Letters/Communications</w:t>
        </w:r>
      </w:hyperlink>
    </w:p>
    <w:p w14:paraId="55C7B3A5" w14:textId="77777777" w:rsidR="002E0C59" w:rsidRPr="00E0006C" w:rsidRDefault="002E0C59" w:rsidP="00777254">
      <w:pPr>
        <w:jc w:val="right"/>
        <w:rPr>
          <w:rFonts w:ascii="Verdana" w:hAnsi="Verdana"/>
        </w:rPr>
      </w:pPr>
    </w:p>
    <w:p w14:paraId="69439CCD" w14:textId="383796E4" w:rsidR="00777254" w:rsidRPr="00E0006C" w:rsidRDefault="00CE0A68" w:rsidP="00777254">
      <w:pPr>
        <w:jc w:val="right"/>
        <w:rPr>
          <w:rFonts w:ascii="Verdana" w:hAnsi="Verdana"/>
        </w:rPr>
      </w:pPr>
      <w:hyperlink w:anchor="_top" w:history="1">
        <w:r w:rsidR="00777254" w:rsidRPr="00E0006C">
          <w:rPr>
            <w:rStyle w:val="Hyperlink"/>
            <w:rFonts w:ascii="Verdana" w:hAnsi="Verdana"/>
          </w:rPr>
          <w:t>Top of the Document</w:t>
        </w:r>
      </w:hyperlink>
    </w:p>
    <w:p w14:paraId="73C2DAF0" w14:textId="77777777" w:rsidR="00B13B31" w:rsidRPr="00E0006C" w:rsidRDefault="00B13B31" w:rsidP="00C247CB">
      <w:pPr>
        <w:jc w:val="center"/>
        <w:rPr>
          <w:rFonts w:ascii="Verdana" w:hAnsi="Verdana"/>
        </w:rPr>
      </w:pPr>
      <w:bookmarkStart w:id="6" w:name="_Process_for_Handling"/>
      <w:bookmarkEnd w:id="6"/>
    </w:p>
    <w:p w14:paraId="15562EA4" w14:textId="77777777" w:rsidR="00710E68" w:rsidRPr="00E0006C" w:rsidRDefault="00710E68" w:rsidP="00C247CB">
      <w:pPr>
        <w:jc w:val="center"/>
        <w:rPr>
          <w:rFonts w:ascii="Verdana" w:hAnsi="Verdana"/>
          <w:sz w:val="16"/>
        </w:rPr>
      </w:pPr>
      <w:r w:rsidRPr="00E0006C">
        <w:rPr>
          <w:rFonts w:ascii="Verdana" w:hAnsi="Verdana"/>
          <w:sz w:val="16"/>
        </w:rPr>
        <w:t xml:space="preserve">Not </w:t>
      </w:r>
      <w:r w:rsidR="009F64F1" w:rsidRPr="00E0006C">
        <w:rPr>
          <w:rFonts w:ascii="Verdana" w:hAnsi="Verdana"/>
          <w:sz w:val="16"/>
        </w:rPr>
        <w:t xml:space="preserve">to </w:t>
      </w:r>
      <w:r w:rsidRPr="00E0006C">
        <w:rPr>
          <w:rFonts w:ascii="Verdana" w:hAnsi="Verdana"/>
          <w:sz w:val="16"/>
        </w:rPr>
        <w:t xml:space="preserve">Be Reproduced </w:t>
      </w:r>
      <w:r w:rsidR="009F64F1" w:rsidRPr="00E0006C">
        <w:rPr>
          <w:rFonts w:ascii="Verdana" w:hAnsi="Verdana"/>
          <w:sz w:val="16"/>
        </w:rPr>
        <w:t xml:space="preserve">or </w:t>
      </w:r>
      <w:r w:rsidRPr="00E0006C">
        <w:rPr>
          <w:rFonts w:ascii="Verdana" w:hAnsi="Verdana"/>
          <w:sz w:val="16"/>
        </w:rPr>
        <w:t xml:space="preserve">Disclosed to Others </w:t>
      </w:r>
      <w:r w:rsidR="009F64F1" w:rsidRPr="00E0006C">
        <w:rPr>
          <w:rFonts w:ascii="Verdana" w:hAnsi="Verdana"/>
          <w:sz w:val="16"/>
        </w:rPr>
        <w:t xml:space="preserve">without </w:t>
      </w:r>
      <w:r w:rsidRPr="00E0006C">
        <w:rPr>
          <w:rFonts w:ascii="Verdana" w:hAnsi="Verdana"/>
          <w:sz w:val="16"/>
        </w:rPr>
        <w:t>Prior Written Approval</w:t>
      </w:r>
    </w:p>
    <w:p w14:paraId="31A460B1" w14:textId="202F2281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E0006C">
        <w:rPr>
          <w:rFonts w:ascii="Verdana" w:hAnsi="Verdana"/>
          <w:b/>
          <w:color w:val="000000"/>
          <w:sz w:val="16"/>
        </w:rPr>
        <w:t xml:space="preserve">ELECTRONIC DATA = OFFICIAL VERSION </w:t>
      </w:r>
      <w:r w:rsidR="00B13B31" w:rsidRPr="00E0006C">
        <w:rPr>
          <w:rFonts w:ascii="Verdana" w:hAnsi="Verdana"/>
          <w:b/>
          <w:color w:val="000000"/>
          <w:sz w:val="16"/>
        </w:rPr>
        <w:t>/</w:t>
      </w:r>
      <w:r w:rsidRPr="00E0006C">
        <w:rPr>
          <w:rFonts w:ascii="Verdana" w:hAnsi="Verdana"/>
          <w:b/>
          <w:color w:val="000000"/>
          <w:sz w:val="16"/>
        </w:rPr>
        <w:t xml:space="preserve"> PAPER COPY </w:t>
      </w:r>
      <w:r w:rsidR="00B13B31" w:rsidRPr="00E0006C">
        <w:rPr>
          <w:rFonts w:ascii="Verdana" w:hAnsi="Verdana"/>
          <w:b/>
          <w:color w:val="000000"/>
          <w:sz w:val="16"/>
        </w:rPr>
        <w:t>=</w:t>
      </w:r>
      <w:r w:rsidRPr="00E0006C">
        <w:rPr>
          <w:rFonts w:ascii="Verdana" w:hAnsi="Verdana"/>
          <w:b/>
          <w:color w:val="000000"/>
          <w:sz w:val="16"/>
        </w:rPr>
        <w:t xml:space="preserve"> INFORMATIONAL ONLY</w:t>
      </w:r>
    </w:p>
    <w:sectPr w:rsidR="005A64DA" w:rsidRPr="00C247CB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78C33" w14:textId="77777777" w:rsidR="00CE0A68" w:rsidRDefault="00CE0A68">
      <w:r>
        <w:separator/>
      </w:r>
    </w:p>
  </w:endnote>
  <w:endnote w:type="continuationSeparator" w:id="0">
    <w:p w14:paraId="60008E62" w14:textId="77777777" w:rsidR="00CE0A68" w:rsidRDefault="00CE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5464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6B7F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6E4A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95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6E927E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8094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77FB0" w14:textId="77777777" w:rsidR="00CE0A68" w:rsidRDefault="00CE0A68">
      <w:r>
        <w:separator/>
      </w:r>
    </w:p>
  </w:footnote>
  <w:footnote w:type="continuationSeparator" w:id="0">
    <w:p w14:paraId="5C9AFC61" w14:textId="77777777" w:rsidR="00CE0A68" w:rsidRDefault="00CE0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2769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E1C"/>
    <w:multiLevelType w:val="hybridMultilevel"/>
    <w:tmpl w:val="F7DA1B88"/>
    <w:lvl w:ilvl="0" w:tplc="A1060ED0">
      <w:numFmt w:val="bullet"/>
      <w:lvlText w:val="•"/>
      <w:lvlJc w:val="left"/>
      <w:pPr>
        <w:ind w:left="1080" w:hanging="36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C82"/>
    <w:multiLevelType w:val="hybridMultilevel"/>
    <w:tmpl w:val="2D26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5919"/>
    <w:multiLevelType w:val="hybridMultilevel"/>
    <w:tmpl w:val="7E32A7B4"/>
    <w:lvl w:ilvl="0" w:tplc="A1060ED0">
      <w:numFmt w:val="bullet"/>
      <w:lvlText w:val="•"/>
      <w:lvlJc w:val="left"/>
      <w:pPr>
        <w:ind w:left="1080" w:hanging="36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6323CC"/>
    <w:multiLevelType w:val="hybridMultilevel"/>
    <w:tmpl w:val="1C16E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D004D"/>
    <w:multiLevelType w:val="hybridMultilevel"/>
    <w:tmpl w:val="56FED934"/>
    <w:lvl w:ilvl="0" w:tplc="A1060ED0">
      <w:numFmt w:val="bullet"/>
      <w:lvlText w:val="•"/>
      <w:lvlJc w:val="left"/>
      <w:pPr>
        <w:ind w:left="1170" w:hanging="36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7BD1"/>
    <w:rsid w:val="00015A2E"/>
    <w:rsid w:val="00035BED"/>
    <w:rsid w:val="00044013"/>
    <w:rsid w:val="00061AD2"/>
    <w:rsid w:val="0008665F"/>
    <w:rsid w:val="00095AB5"/>
    <w:rsid w:val="000A0521"/>
    <w:rsid w:val="000A6B88"/>
    <w:rsid w:val="000B3C4C"/>
    <w:rsid w:val="000B46DE"/>
    <w:rsid w:val="000B656F"/>
    <w:rsid w:val="000B72DF"/>
    <w:rsid w:val="000D1870"/>
    <w:rsid w:val="000D6714"/>
    <w:rsid w:val="000F0D1B"/>
    <w:rsid w:val="000F4459"/>
    <w:rsid w:val="0011454C"/>
    <w:rsid w:val="00115944"/>
    <w:rsid w:val="0012373E"/>
    <w:rsid w:val="001240B4"/>
    <w:rsid w:val="001360A5"/>
    <w:rsid w:val="001560C4"/>
    <w:rsid w:val="0016273A"/>
    <w:rsid w:val="00176400"/>
    <w:rsid w:val="001B3879"/>
    <w:rsid w:val="001F1218"/>
    <w:rsid w:val="002016B4"/>
    <w:rsid w:val="002055C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A5B39"/>
    <w:rsid w:val="002B593E"/>
    <w:rsid w:val="002B5D6C"/>
    <w:rsid w:val="002C282A"/>
    <w:rsid w:val="002E0C59"/>
    <w:rsid w:val="002E58AD"/>
    <w:rsid w:val="002F1F92"/>
    <w:rsid w:val="00312690"/>
    <w:rsid w:val="00313768"/>
    <w:rsid w:val="0033143E"/>
    <w:rsid w:val="003725A1"/>
    <w:rsid w:val="00377888"/>
    <w:rsid w:val="003868A2"/>
    <w:rsid w:val="00392A5B"/>
    <w:rsid w:val="003A6D70"/>
    <w:rsid w:val="003B1F86"/>
    <w:rsid w:val="003C4627"/>
    <w:rsid w:val="003E53EE"/>
    <w:rsid w:val="003E6C1A"/>
    <w:rsid w:val="0040640A"/>
    <w:rsid w:val="004066B1"/>
    <w:rsid w:val="00406DB5"/>
    <w:rsid w:val="0042336D"/>
    <w:rsid w:val="00430E7B"/>
    <w:rsid w:val="00443F8C"/>
    <w:rsid w:val="00457EAE"/>
    <w:rsid w:val="0046239E"/>
    <w:rsid w:val="00472454"/>
    <w:rsid w:val="004768BE"/>
    <w:rsid w:val="00477F73"/>
    <w:rsid w:val="0048355A"/>
    <w:rsid w:val="004B0164"/>
    <w:rsid w:val="004B719C"/>
    <w:rsid w:val="004D3C53"/>
    <w:rsid w:val="004E756A"/>
    <w:rsid w:val="00512486"/>
    <w:rsid w:val="0052465B"/>
    <w:rsid w:val="00524CDD"/>
    <w:rsid w:val="00582E85"/>
    <w:rsid w:val="005910B5"/>
    <w:rsid w:val="005A6118"/>
    <w:rsid w:val="005A64DA"/>
    <w:rsid w:val="005B4E1E"/>
    <w:rsid w:val="005C1D83"/>
    <w:rsid w:val="005D6BD5"/>
    <w:rsid w:val="005E650E"/>
    <w:rsid w:val="00612BED"/>
    <w:rsid w:val="00622D77"/>
    <w:rsid w:val="00625170"/>
    <w:rsid w:val="00627F34"/>
    <w:rsid w:val="00636B18"/>
    <w:rsid w:val="00637CA1"/>
    <w:rsid w:val="0064267B"/>
    <w:rsid w:val="00674A16"/>
    <w:rsid w:val="00691E10"/>
    <w:rsid w:val="006A0481"/>
    <w:rsid w:val="006B6793"/>
    <w:rsid w:val="006C13DF"/>
    <w:rsid w:val="006C653F"/>
    <w:rsid w:val="006D0A7B"/>
    <w:rsid w:val="006F565C"/>
    <w:rsid w:val="006F7DFC"/>
    <w:rsid w:val="00704AF2"/>
    <w:rsid w:val="00710E68"/>
    <w:rsid w:val="00714BA0"/>
    <w:rsid w:val="0072066F"/>
    <w:rsid w:val="00720CC2"/>
    <w:rsid w:val="007269B6"/>
    <w:rsid w:val="00726E7A"/>
    <w:rsid w:val="00727D0B"/>
    <w:rsid w:val="0073294A"/>
    <w:rsid w:val="00732E52"/>
    <w:rsid w:val="00745690"/>
    <w:rsid w:val="00752801"/>
    <w:rsid w:val="00765D11"/>
    <w:rsid w:val="007747B8"/>
    <w:rsid w:val="00777254"/>
    <w:rsid w:val="00785118"/>
    <w:rsid w:val="00786BEB"/>
    <w:rsid w:val="00795B81"/>
    <w:rsid w:val="007C77DD"/>
    <w:rsid w:val="007E3EA6"/>
    <w:rsid w:val="007F26C5"/>
    <w:rsid w:val="008042E1"/>
    <w:rsid w:val="00804D63"/>
    <w:rsid w:val="00806B9D"/>
    <w:rsid w:val="00812777"/>
    <w:rsid w:val="00813608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06F3"/>
    <w:rsid w:val="00915690"/>
    <w:rsid w:val="00947783"/>
    <w:rsid w:val="00954FE8"/>
    <w:rsid w:val="009726E0"/>
    <w:rsid w:val="00975003"/>
    <w:rsid w:val="00990822"/>
    <w:rsid w:val="00992E77"/>
    <w:rsid w:val="0099415F"/>
    <w:rsid w:val="009B6178"/>
    <w:rsid w:val="009C4A31"/>
    <w:rsid w:val="009F64F1"/>
    <w:rsid w:val="009F6FD2"/>
    <w:rsid w:val="009F78D3"/>
    <w:rsid w:val="00A4732A"/>
    <w:rsid w:val="00A7166B"/>
    <w:rsid w:val="00A83BA0"/>
    <w:rsid w:val="00A84F18"/>
    <w:rsid w:val="00A85045"/>
    <w:rsid w:val="00A95738"/>
    <w:rsid w:val="00A97B7D"/>
    <w:rsid w:val="00AA4825"/>
    <w:rsid w:val="00AB33E1"/>
    <w:rsid w:val="00AB3E97"/>
    <w:rsid w:val="00AD1646"/>
    <w:rsid w:val="00AF038B"/>
    <w:rsid w:val="00B13B31"/>
    <w:rsid w:val="00B15F8C"/>
    <w:rsid w:val="00B26045"/>
    <w:rsid w:val="00B44C55"/>
    <w:rsid w:val="00B46A95"/>
    <w:rsid w:val="00B544C2"/>
    <w:rsid w:val="00B5566F"/>
    <w:rsid w:val="00B64BE7"/>
    <w:rsid w:val="00B70CC4"/>
    <w:rsid w:val="00B9549C"/>
    <w:rsid w:val="00BB02DE"/>
    <w:rsid w:val="00BB371A"/>
    <w:rsid w:val="00BD7B25"/>
    <w:rsid w:val="00BE1AFF"/>
    <w:rsid w:val="00BF74E9"/>
    <w:rsid w:val="00C0030C"/>
    <w:rsid w:val="00C15164"/>
    <w:rsid w:val="00C17C77"/>
    <w:rsid w:val="00C247CB"/>
    <w:rsid w:val="00C25830"/>
    <w:rsid w:val="00C360BD"/>
    <w:rsid w:val="00C476E1"/>
    <w:rsid w:val="00C52E77"/>
    <w:rsid w:val="00C566B3"/>
    <w:rsid w:val="00C61CED"/>
    <w:rsid w:val="00C65249"/>
    <w:rsid w:val="00C67B32"/>
    <w:rsid w:val="00C729E0"/>
    <w:rsid w:val="00C75C83"/>
    <w:rsid w:val="00CB0C1D"/>
    <w:rsid w:val="00CB5985"/>
    <w:rsid w:val="00CC5AA2"/>
    <w:rsid w:val="00CC721A"/>
    <w:rsid w:val="00CD0963"/>
    <w:rsid w:val="00CE0A68"/>
    <w:rsid w:val="00CE3D42"/>
    <w:rsid w:val="00CE53E6"/>
    <w:rsid w:val="00CF5CC0"/>
    <w:rsid w:val="00CF6131"/>
    <w:rsid w:val="00CF7E93"/>
    <w:rsid w:val="00D06EAA"/>
    <w:rsid w:val="00D36733"/>
    <w:rsid w:val="00D471B5"/>
    <w:rsid w:val="00D571DB"/>
    <w:rsid w:val="00D63CEC"/>
    <w:rsid w:val="00D6774D"/>
    <w:rsid w:val="00D75191"/>
    <w:rsid w:val="00D80929"/>
    <w:rsid w:val="00D85254"/>
    <w:rsid w:val="00DC4FFC"/>
    <w:rsid w:val="00DE7950"/>
    <w:rsid w:val="00DF6BE4"/>
    <w:rsid w:val="00E0006C"/>
    <w:rsid w:val="00E157BC"/>
    <w:rsid w:val="00E427EA"/>
    <w:rsid w:val="00E50E4A"/>
    <w:rsid w:val="00E620B1"/>
    <w:rsid w:val="00E91F5F"/>
    <w:rsid w:val="00EA6F59"/>
    <w:rsid w:val="00EB12DD"/>
    <w:rsid w:val="00EB153E"/>
    <w:rsid w:val="00EB57EB"/>
    <w:rsid w:val="00ED50CF"/>
    <w:rsid w:val="00F1152F"/>
    <w:rsid w:val="00F207B3"/>
    <w:rsid w:val="00F5486B"/>
    <w:rsid w:val="00F658E0"/>
    <w:rsid w:val="00F859B7"/>
    <w:rsid w:val="00F919AC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0851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1240B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17C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17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6B67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6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6793"/>
  </w:style>
  <w:style w:type="paragraph" w:styleId="CommentSubject">
    <w:name w:val="annotation subject"/>
    <w:basedOn w:val="CommentText"/>
    <w:next w:val="CommentText"/>
    <w:link w:val="CommentSubjectChar"/>
    <w:rsid w:val="006B6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B6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670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SRC-PROD-022708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MS-PRD1-069402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78B84-8F3E-4A1D-A2FF-4CB3DE04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277</Words>
  <Characters>1777</Characters>
  <Application>Microsoft Office Word</Application>
  <DocSecurity>2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2050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4</cp:revision>
  <cp:lastPrinted>2007-01-03T15:56:00Z</cp:lastPrinted>
  <dcterms:created xsi:type="dcterms:W3CDTF">2019-09-30T17:26:00Z</dcterms:created>
  <dcterms:modified xsi:type="dcterms:W3CDTF">2021-08-02T19:09:00Z</dcterms:modified>
</cp:coreProperties>
</file>