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6E" w:rsidRPr="00AC5FE3" w:rsidRDefault="00AC5FE3" w:rsidP="00AC5FE3">
      <w:pPr>
        <w:pStyle w:val="Heading1"/>
        <w:rPr>
          <w:rFonts w:ascii="Verdana" w:hAnsi="Verdana"/>
          <w:b/>
          <w:color w:val="auto"/>
        </w:rPr>
      </w:pPr>
      <w:bookmarkStart w:id="0" w:name="_top"/>
      <w:bookmarkEnd w:id="0"/>
      <w:r>
        <w:rPr>
          <w:rFonts w:ascii="Verdana" w:hAnsi="Verdana"/>
          <w:b/>
          <w:color w:val="auto"/>
        </w:rPr>
        <w:t xml:space="preserve">MED D - </w:t>
      </w:r>
      <w:r w:rsidR="008175AA" w:rsidRPr="00AC5FE3">
        <w:rPr>
          <w:rFonts w:ascii="Verdana" w:hAnsi="Verdana"/>
          <w:b/>
          <w:color w:val="auto"/>
        </w:rPr>
        <w:t xml:space="preserve">Explaining and Calculating </w:t>
      </w:r>
      <w:r w:rsidR="0016392B" w:rsidRPr="00AC5FE3">
        <w:rPr>
          <w:rFonts w:ascii="Verdana" w:hAnsi="Verdana"/>
          <w:b/>
          <w:color w:val="auto"/>
        </w:rPr>
        <w:t>Claims</w:t>
      </w:r>
      <w:r>
        <w:rPr>
          <w:rFonts w:ascii="Verdana" w:hAnsi="Verdana"/>
          <w:b/>
          <w:color w:val="auto"/>
        </w:rPr>
        <w:t xml:space="preserve"> Example</w:t>
      </w:r>
      <w:r w:rsidR="009E2AAD">
        <w:rPr>
          <w:rFonts w:ascii="Verdana" w:hAnsi="Verdana"/>
          <w:b/>
          <w:color w:val="auto"/>
        </w:rPr>
        <w:t xml:space="preserve"> </w:t>
      </w:r>
      <w:r w:rsidR="006A71ED">
        <w:rPr>
          <w:rFonts w:ascii="Verdana" w:hAnsi="Verdana"/>
          <w:b/>
          <w:color w:val="auto"/>
        </w:rPr>
        <w:t>2</w:t>
      </w:r>
    </w:p>
    <w:p w:rsidR="00985F8F" w:rsidRDefault="00985F8F" w:rsidP="006D7008">
      <w:pPr>
        <w:spacing w:after="0" w:line="240" w:lineRule="auto"/>
        <w:rPr>
          <w:rFonts w:ascii="Verdana" w:hAnsi="Verdana"/>
          <w:sz w:val="24"/>
          <w:szCs w:val="24"/>
        </w:rPr>
      </w:pPr>
      <w:r w:rsidRPr="00AC5FE3">
        <w:rPr>
          <w:rFonts w:ascii="Verdana" w:hAnsi="Verdana"/>
          <w:b/>
          <w:sz w:val="24"/>
          <w:szCs w:val="24"/>
        </w:rPr>
        <w:t>Scenario:</w:t>
      </w:r>
      <w:r w:rsidRPr="00AC5FE3">
        <w:rPr>
          <w:rFonts w:ascii="Verdana" w:hAnsi="Verdana"/>
          <w:sz w:val="24"/>
          <w:szCs w:val="24"/>
        </w:rPr>
        <w:t xml:space="preserve"> </w:t>
      </w:r>
      <w:r w:rsidR="006D7008">
        <w:rPr>
          <w:rFonts w:ascii="Verdana" w:hAnsi="Verdana"/>
          <w:sz w:val="24"/>
          <w:szCs w:val="24"/>
        </w:rPr>
        <w:t xml:space="preserve"> </w:t>
      </w:r>
      <w:r w:rsidRPr="00AC5FE3">
        <w:rPr>
          <w:rFonts w:ascii="Verdana" w:hAnsi="Verdana"/>
          <w:sz w:val="24"/>
          <w:szCs w:val="24"/>
        </w:rPr>
        <w:t>Mr. Matthews is calling in because his doctor is thi</w:t>
      </w:r>
      <w:r w:rsidR="00EA33F5" w:rsidRPr="00AC5FE3">
        <w:rPr>
          <w:rFonts w:ascii="Verdana" w:hAnsi="Verdana"/>
          <w:sz w:val="24"/>
          <w:szCs w:val="24"/>
        </w:rPr>
        <w:t>nking about prescribing Xarelto. Mr. Matthews is aware that he is in the coverage gap</w:t>
      </w:r>
      <w:r w:rsidR="00AC5FE3">
        <w:rPr>
          <w:rFonts w:ascii="Verdana" w:hAnsi="Verdana"/>
          <w:sz w:val="24"/>
          <w:szCs w:val="24"/>
        </w:rPr>
        <w:t>.</w:t>
      </w:r>
      <w:r w:rsidR="00EA33F5" w:rsidRPr="00AC5FE3">
        <w:rPr>
          <w:rFonts w:ascii="Verdana" w:hAnsi="Verdana"/>
          <w:sz w:val="24"/>
          <w:szCs w:val="24"/>
        </w:rPr>
        <w:t xml:space="preserve"> </w:t>
      </w:r>
      <w:r w:rsidR="00AC5FE3">
        <w:rPr>
          <w:rFonts w:ascii="Verdana" w:hAnsi="Verdana"/>
          <w:sz w:val="24"/>
          <w:szCs w:val="24"/>
        </w:rPr>
        <w:t>He would like a</w:t>
      </w:r>
      <w:r w:rsidR="00EA33F5" w:rsidRPr="00AC5FE3">
        <w:rPr>
          <w:rFonts w:ascii="Verdana" w:hAnsi="Verdana"/>
          <w:sz w:val="24"/>
          <w:szCs w:val="24"/>
        </w:rPr>
        <w:t xml:space="preserve"> price estimate for the 20Mg Xarelto</w:t>
      </w:r>
      <w:r w:rsidR="00FC1791" w:rsidRPr="00AC5FE3">
        <w:rPr>
          <w:rFonts w:ascii="Verdana" w:hAnsi="Verdana"/>
          <w:sz w:val="24"/>
          <w:szCs w:val="24"/>
        </w:rPr>
        <w:t xml:space="preserve"> that he would be taking twice </w:t>
      </w:r>
      <w:r w:rsidR="00EA33F5" w:rsidRPr="00AC5FE3">
        <w:rPr>
          <w:rFonts w:ascii="Verdana" w:hAnsi="Verdana"/>
          <w:sz w:val="24"/>
          <w:szCs w:val="24"/>
        </w:rPr>
        <w:t xml:space="preserve">a day for 90 days and receiving through the mail. </w:t>
      </w:r>
    </w:p>
    <w:p w:rsidR="006D7008" w:rsidRDefault="006D7008" w:rsidP="006D7008">
      <w:pPr>
        <w:spacing w:after="0" w:line="240" w:lineRule="auto"/>
        <w:rPr>
          <w:rFonts w:ascii="Verdana" w:hAnsi="Verdana"/>
          <w:sz w:val="24"/>
          <w:szCs w:val="24"/>
        </w:rPr>
      </w:pPr>
    </w:p>
    <w:p w:rsidR="00065243" w:rsidRDefault="00065243" w:rsidP="00065243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Note:  </w:t>
      </w:r>
      <w:r>
        <w:rPr>
          <w:rFonts w:ascii="Verdana" w:hAnsi="Verdana"/>
          <w:sz w:val="24"/>
          <w:szCs w:val="24"/>
        </w:rPr>
        <w:t xml:space="preserve">To explain and calculate the claim for this year, replace the Total </w:t>
      </w:r>
      <w:proofErr w:type="gramStart"/>
      <w:r>
        <w:rPr>
          <w:rFonts w:ascii="Verdana" w:hAnsi="Verdana"/>
          <w:sz w:val="24"/>
          <w:szCs w:val="24"/>
        </w:rPr>
        <w:t>Out</w:t>
      </w:r>
      <w:proofErr w:type="gramEnd"/>
      <w:r>
        <w:rPr>
          <w:rFonts w:ascii="Verdana" w:hAnsi="Verdana"/>
          <w:sz w:val="24"/>
          <w:szCs w:val="24"/>
        </w:rPr>
        <w:t xml:space="preserve"> of Pocket and Plan Design information with the current year’s values. The values in this example may not reflect the current year’s information.</w:t>
      </w:r>
      <w:r w:rsidR="00AB5FA6">
        <w:rPr>
          <w:rFonts w:ascii="Verdana" w:hAnsi="Verdana"/>
          <w:sz w:val="24"/>
          <w:szCs w:val="24"/>
        </w:rPr>
        <w:t xml:space="preserve"> </w:t>
      </w:r>
      <w:bookmarkStart w:id="1" w:name="_GoBack"/>
      <w:bookmarkEnd w:id="1"/>
    </w:p>
    <w:p w:rsidR="00065243" w:rsidRPr="00AC5FE3" w:rsidRDefault="00065243" w:rsidP="006D7008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8550"/>
        <w:gridCol w:w="8551"/>
      </w:tblGrid>
      <w:tr w:rsidR="00AC5FE3" w:rsidTr="004321C8">
        <w:tc>
          <w:tcPr>
            <w:tcW w:w="928" w:type="dxa"/>
            <w:shd w:val="pct10" w:color="auto" w:fill="auto"/>
          </w:tcPr>
          <w:p w:rsidR="00AC5FE3" w:rsidRP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C5FE3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17101" w:type="dxa"/>
            <w:gridSpan w:val="2"/>
            <w:shd w:val="pct10" w:color="auto" w:fill="auto"/>
          </w:tcPr>
          <w:p w:rsidR="00AC5FE3" w:rsidRP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C5FE3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AC5FE3" w:rsidTr="004321C8">
        <w:tc>
          <w:tcPr>
            <w:tcW w:w="928" w:type="dxa"/>
          </w:tcPr>
          <w:p w:rsidR="00AC5FE3" w:rsidRP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C5FE3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17101" w:type="dxa"/>
            <w:gridSpan w:val="2"/>
          </w:tcPr>
          <w:p w:rsidR="00AC5FE3" w:rsidRP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  <w:r w:rsidRPr="00AC5FE3">
              <w:rPr>
                <w:rFonts w:ascii="Verdana" w:hAnsi="Verdana"/>
                <w:sz w:val="24"/>
                <w:szCs w:val="24"/>
              </w:rPr>
              <w:t xml:space="preserve">From the Main Screen, click the Test claim button at the top of the screen. </w:t>
            </w:r>
          </w:p>
          <w:p w:rsidR="00AC5FE3" w:rsidRDefault="00AC5FE3" w:rsidP="00BE3004">
            <w:pPr>
              <w:rPr>
                <w:rFonts w:ascii="Verdana" w:hAnsi="Verdana"/>
                <w:sz w:val="24"/>
                <w:szCs w:val="24"/>
              </w:rPr>
            </w:pPr>
          </w:p>
          <w:p w:rsidR="00AC5FE3" w:rsidRDefault="007E2582" w:rsidP="00AC5FE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946566" cy="2762250"/>
                  <wp:effectExtent l="0" t="0" r="6985" b="0"/>
                  <wp:docPr id="3" name="Picture 3" descr="C:\Users\ax02205\AppData\Local\Temp\SNAGHTML5aae0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x02205\AppData\Local\Temp\SNAGHTML5aae0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0931" cy="2764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5FE3" w:rsidRDefault="00AC5FE3" w:rsidP="00AC5FE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C5FE3" w:rsidTr="004321C8">
        <w:tc>
          <w:tcPr>
            <w:tcW w:w="928" w:type="dxa"/>
          </w:tcPr>
          <w:p w:rsidR="00AC5FE3" w:rsidRP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C5FE3"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17101" w:type="dxa"/>
            <w:gridSpan w:val="2"/>
          </w:tcPr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  <w:r w:rsidRPr="00AC5FE3">
              <w:rPr>
                <w:rFonts w:ascii="Verdana" w:hAnsi="Verdana"/>
                <w:sz w:val="24"/>
                <w:szCs w:val="24"/>
              </w:rPr>
              <w:t>Enter all of the prescription details obtained</w:t>
            </w:r>
            <w:r>
              <w:rPr>
                <w:rFonts w:ascii="Verdana" w:hAnsi="Verdana"/>
                <w:sz w:val="24"/>
                <w:szCs w:val="24"/>
              </w:rPr>
              <w:t xml:space="preserve"> from the member and click the </w:t>
            </w:r>
            <w:r w:rsidRPr="00AC5FE3">
              <w:rPr>
                <w:rFonts w:ascii="Verdana" w:hAnsi="Verdana"/>
                <w:b/>
                <w:sz w:val="24"/>
                <w:szCs w:val="24"/>
              </w:rPr>
              <w:t>Run Test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 button located at the bottom of the screen</w:t>
            </w:r>
            <w:r w:rsidR="006D7008">
              <w:rPr>
                <w:rFonts w:ascii="Verdana" w:hAnsi="Verdana"/>
                <w:sz w:val="24"/>
                <w:szCs w:val="24"/>
              </w:rPr>
              <w:t xml:space="preserve">. </w:t>
            </w:r>
            <w:r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7" w:history="1">
              <w:r w:rsidRPr="001E3048">
                <w:rPr>
                  <w:rStyle w:val="Hyperlink"/>
                  <w:rFonts w:ascii="Verdana" w:hAnsi="Verdana"/>
                  <w:color w:val="0000FF"/>
                  <w:sz w:val="24"/>
                  <w:szCs w:val="24"/>
                </w:rPr>
                <w:t>MED D - Test Claim</w:t>
              </w:r>
            </w:hyperlink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</w:p>
          <w:p w:rsidR="00AC5FE3" w:rsidRPr="00AC5FE3" w:rsidRDefault="00AC5FE3" w:rsidP="00AC5FE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F0A23C" wp14:editId="6EDB9981">
                  <wp:extent cx="4838095" cy="3047619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3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FE3" w:rsidRDefault="00AC5FE3" w:rsidP="00BE300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C5FE3" w:rsidTr="004321C8">
        <w:tc>
          <w:tcPr>
            <w:tcW w:w="928" w:type="dxa"/>
            <w:vMerge w:val="restart"/>
          </w:tcPr>
          <w:p w:rsidR="00AC5FE3" w:rsidRP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17101" w:type="dxa"/>
            <w:gridSpan w:val="2"/>
            <w:tcBorders>
              <w:bottom w:val="single" w:sz="4" w:space="0" w:color="auto"/>
            </w:tcBorders>
          </w:tcPr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Provide Mr. Matthews with the estimated copay of the covered medication. </w:t>
            </w:r>
          </w:p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</w:p>
          <w:p w:rsidR="00AC5FE3" w:rsidRDefault="00AC5FE3" w:rsidP="00AC5FE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33F3AC" wp14:editId="5B17E7D9">
                  <wp:extent cx="7993455" cy="672489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3468" cy="67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FE3" w:rsidRDefault="00AC5FE3" w:rsidP="00AC5FE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AC5FE3" w:rsidRPr="00AC5FE3" w:rsidRDefault="00AC5FE3" w:rsidP="00AC5FE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Note: </w:t>
            </w:r>
            <w:r w:rsidRPr="00AC5FE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On an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 EGWP account</w:t>
            </w:r>
            <w:r>
              <w:rPr>
                <w:rFonts w:ascii="Verdana" w:hAnsi="Verdana"/>
                <w:sz w:val="24"/>
                <w:szCs w:val="24"/>
              </w:rPr>
              <w:t xml:space="preserve">, </w:t>
            </w:r>
            <w:r w:rsidRPr="00AC5FE3">
              <w:rPr>
                <w:rFonts w:ascii="Verdana" w:hAnsi="Verdana"/>
                <w:sz w:val="24"/>
                <w:szCs w:val="24"/>
              </w:rPr>
              <w:t>view the financials and the supplemental financials before quoting a copay.</w:t>
            </w:r>
          </w:p>
        </w:tc>
      </w:tr>
      <w:tr w:rsidR="00AC5FE3" w:rsidTr="004321C8">
        <w:trPr>
          <w:trHeight w:val="90"/>
        </w:trPr>
        <w:tc>
          <w:tcPr>
            <w:tcW w:w="928" w:type="dxa"/>
            <w:vMerge/>
          </w:tcPr>
          <w:p w:rsid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550" w:type="dxa"/>
            <w:shd w:val="clear" w:color="auto" w:fill="E6E6E6"/>
          </w:tcPr>
          <w:p w:rsidR="00AC5FE3" w:rsidRP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C5FE3">
              <w:rPr>
                <w:rFonts w:ascii="Verdana" w:hAnsi="Verdana"/>
                <w:b/>
                <w:sz w:val="24"/>
                <w:szCs w:val="24"/>
              </w:rPr>
              <w:t>If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member</w:t>
            </w:r>
            <w:r w:rsidRPr="00AC5FE3">
              <w:rPr>
                <w:rFonts w:ascii="Verdana" w:hAnsi="Verdana"/>
                <w:b/>
                <w:sz w:val="24"/>
                <w:szCs w:val="24"/>
              </w:rPr>
              <w:t>...</w:t>
            </w:r>
          </w:p>
        </w:tc>
        <w:tc>
          <w:tcPr>
            <w:tcW w:w="8551" w:type="dxa"/>
            <w:shd w:val="clear" w:color="auto" w:fill="E6E6E6"/>
          </w:tcPr>
          <w:p w:rsidR="00AC5FE3" w:rsidRP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C5FE3">
              <w:rPr>
                <w:rFonts w:ascii="Verdana" w:hAnsi="Verdana"/>
                <w:b/>
                <w:sz w:val="24"/>
                <w:szCs w:val="24"/>
              </w:rPr>
              <w:t>Then...</w:t>
            </w:r>
          </w:p>
        </w:tc>
      </w:tr>
      <w:tr w:rsidR="00AC5FE3" w:rsidTr="004321C8">
        <w:trPr>
          <w:trHeight w:val="90"/>
        </w:trPr>
        <w:tc>
          <w:tcPr>
            <w:tcW w:w="928" w:type="dxa"/>
            <w:vMerge/>
          </w:tcPr>
          <w:p w:rsid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550" w:type="dxa"/>
          </w:tcPr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Does not inquiry about reason for the cost</w:t>
            </w:r>
          </w:p>
        </w:tc>
        <w:tc>
          <w:tcPr>
            <w:tcW w:w="8551" w:type="dxa"/>
          </w:tcPr>
          <w:p w:rsidR="00AC5FE3" w:rsidRDefault="00B22A61" w:rsidP="00AC5F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Proceed to Step 13.</w:t>
            </w:r>
          </w:p>
        </w:tc>
      </w:tr>
      <w:tr w:rsidR="00AC5FE3" w:rsidTr="004321C8">
        <w:trPr>
          <w:trHeight w:val="90"/>
        </w:trPr>
        <w:tc>
          <w:tcPr>
            <w:tcW w:w="928" w:type="dxa"/>
            <w:vMerge/>
          </w:tcPr>
          <w:p w:rsid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8550" w:type="dxa"/>
          </w:tcPr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Inquiries about reason for the cost</w:t>
            </w:r>
          </w:p>
        </w:tc>
        <w:tc>
          <w:tcPr>
            <w:tcW w:w="8551" w:type="dxa"/>
          </w:tcPr>
          <w:p w:rsidR="00AC5FE3" w:rsidRDefault="00AC5FE3" w:rsidP="006D700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Proceed to next step.</w:t>
            </w:r>
          </w:p>
        </w:tc>
      </w:tr>
      <w:tr w:rsidR="00AC5FE3" w:rsidTr="004321C8">
        <w:tc>
          <w:tcPr>
            <w:tcW w:w="928" w:type="dxa"/>
          </w:tcPr>
          <w:p w:rsid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4</w:t>
            </w:r>
          </w:p>
        </w:tc>
        <w:tc>
          <w:tcPr>
            <w:tcW w:w="17101" w:type="dxa"/>
            <w:gridSpan w:val="2"/>
          </w:tcPr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  <w:r w:rsidRPr="00AC5FE3">
              <w:rPr>
                <w:rFonts w:ascii="Verdana" w:hAnsi="Verdana"/>
                <w:sz w:val="24"/>
                <w:szCs w:val="24"/>
              </w:rPr>
              <w:t xml:space="preserve">Click on the </w:t>
            </w:r>
            <w:r w:rsidRPr="00AC5FE3">
              <w:rPr>
                <w:rFonts w:ascii="Verdana" w:hAnsi="Verdana"/>
                <w:b/>
                <w:sz w:val="24"/>
                <w:szCs w:val="24"/>
              </w:rPr>
              <w:t>details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 hyperlink to see the test claim results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AC5FE3" w:rsidRP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</w:p>
          <w:p w:rsidR="00AC5FE3" w:rsidRDefault="00AC5FE3" w:rsidP="00AC5FE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37602F" wp14:editId="5136F8AD">
                  <wp:extent cx="7556882" cy="804232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6383" cy="80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FE3" w:rsidRP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C5FE3" w:rsidTr="004321C8">
        <w:tc>
          <w:tcPr>
            <w:tcW w:w="928" w:type="dxa"/>
          </w:tcPr>
          <w:p w:rsid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5</w:t>
            </w:r>
          </w:p>
        </w:tc>
        <w:tc>
          <w:tcPr>
            <w:tcW w:w="17101" w:type="dxa"/>
            <w:gridSpan w:val="2"/>
          </w:tcPr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lick </w:t>
            </w:r>
            <w:r w:rsidRPr="00AC5FE3">
              <w:rPr>
                <w:rFonts w:ascii="Verdana" w:hAnsi="Verdana"/>
                <w:b/>
                <w:sz w:val="24"/>
                <w:szCs w:val="24"/>
              </w:rPr>
              <w:t>View Financial Details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</w:p>
          <w:p w:rsidR="00AC5FE3" w:rsidRDefault="00AC5FE3" w:rsidP="00AC5FE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3E40C3" wp14:editId="4BAFD63D">
                  <wp:extent cx="5752381" cy="5533333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381" cy="5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FE3" w:rsidRDefault="00AC5FE3" w:rsidP="00AC5FE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AC5FE3" w:rsidRDefault="00AC5FE3" w:rsidP="00AC5FE3">
            <w:pPr>
              <w:rPr>
                <w:rFonts w:ascii="Verdana" w:hAnsi="Verdana"/>
                <w:b/>
                <w:sz w:val="24"/>
                <w:szCs w:val="24"/>
              </w:rPr>
            </w:pPr>
          </w:p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  <w:r w:rsidRPr="00AC5FE3">
              <w:rPr>
                <w:rFonts w:ascii="Verdana" w:hAnsi="Verdana"/>
                <w:b/>
                <w:sz w:val="24"/>
                <w:szCs w:val="24"/>
              </w:rPr>
              <w:t>Result: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6D7008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View Financial Detail Screen displays.</w:t>
            </w:r>
          </w:p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</w:p>
          <w:p w:rsidR="00AC5FE3" w:rsidRPr="00AC5FE3" w:rsidRDefault="00AC5FE3" w:rsidP="00AC5FE3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6323BF" wp14:editId="2D589393">
                  <wp:extent cx="6829021" cy="463738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5802" cy="464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5FE3" w:rsidRPr="00075376" w:rsidRDefault="00AC5FE3" w:rsidP="00075376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AC5FE3" w:rsidTr="004321C8">
        <w:tc>
          <w:tcPr>
            <w:tcW w:w="928" w:type="dxa"/>
          </w:tcPr>
          <w:p w:rsid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6</w:t>
            </w:r>
          </w:p>
        </w:tc>
        <w:tc>
          <w:tcPr>
            <w:tcW w:w="17101" w:type="dxa"/>
            <w:gridSpan w:val="2"/>
          </w:tcPr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Review and note the following:</w:t>
            </w:r>
          </w:p>
          <w:p w:rsidR="00AC5FE3" w:rsidRPr="00AC5FE3" w:rsidRDefault="00AC5FE3" w:rsidP="00AC5FE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otal cost of the medication </w:t>
            </w:r>
            <w:r>
              <w:rPr>
                <w:rFonts w:ascii="Verdana" w:hAnsi="Verdana"/>
                <w:sz w:val="24"/>
                <w:szCs w:val="24"/>
              </w:rPr>
              <w:t>or Cost Allowed - (</w:t>
            </w:r>
            <w:r w:rsidRPr="00B22A61">
              <w:rPr>
                <w:rFonts w:ascii="Verdana" w:hAnsi="Verdana"/>
                <w:b/>
                <w:sz w:val="24"/>
                <w:szCs w:val="24"/>
              </w:rPr>
              <w:t>Example: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Pr="00AC5FE3">
              <w:rPr>
                <w:rFonts w:ascii="Verdana" w:hAnsi="Verdana"/>
                <w:sz w:val="24"/>
                <w:szCs w:val="24"/>
              </w:rPr>
              <w:t>$2,747.16 (which includes the $53.87 sales tax)</w:t>
            </w:r>
          </w:p>
          <w:p w:rsidR="00AC5FE3" w:rsidRPr="00AC5FE3" w:rsidRDefault="008238C1" w:rsidP="00AC5FE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Stages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 </w:t>
            </w:r>
            <w:r w:rsidR="00AC5FE3" w:rsidRPr="00AC5FE3">
              <w:rPr>
                <w:rFonts w:ascii="Verdana" w:hAnsi="Verdana"/>
                <w:sz w:val="24"/>
                <w:szCs w:val="24"/>
              </w:rPr>
              <w:t>that the medication has been processed in</w:t>
            </w:r>
            <w:r w:rsidR="00AC5FE3">
              <w:rPr>
                <w:rFonts w:ascii="Verdana" w:hAnsi="Verdana"/>
                <w:sz w:val="24"/>
                <w:szCs w:val="24"/>
              </w:rPr>
              <w:t xml:space="preserve"> - (</w:t>
            </w:r>
            <w:r w:rsidR="00AC5FE3" w:rsidRPr="00B22A61">
              <w:rPr>
                <w:rFonts w:ascii="Verdana" w:hAnsi="Verdana"/>
                <w:b/>
                <w:sz w:val="24"/>
                <w:szCs w:val="24"/>
              </w:rPr>
              <w:t>Example:</w:t>
            </w:r>
            <w:r w:rsidR="00AC5FE3">
              <w:rPr>
                <w:rFonts w:ascii="Verdana" w:hAnsi="Verdana"/>
                <w:sz w:val="24"/>
                <w:szCs w:val="24"/>
              </w:rPr>
              <w:t xml:space="preserve">  </w:t>
            </w:r>
            <w:r w:rsidR="00AC5FE3" w:rsidRPr="00AC5FE3">
              <w:rPr>
                <w:rFonts w:ascii="Verdana" w:hAnsi="Verdana"/>
                <w:sz w:val="24"/>
                <w:szCs w:val="24"/>
              </w:rPr>
              <w:t xml:space="preserve">Coverage Gap as well as the Catastrophic </w:t>
            </w:r>
            <w:r>
              <w:rPr>
                <w:rFonts w:ascii="Verdana" w:hAnsi="Verdana"/>
                <w:sz w:val="24"/>
                <w:szCs w:val="24"/>
              </w:rPr>
              <w:t>Stage</w:t>
            </w:r>
            <w:r w:rsidR="00AC5FE3">
              <w:rPr>
                <w:rFonts w:ascii="Verdana" w:hAnsi="Verdana"/>
                <w:sz w:val="24"/>
                <w:szCs w:val="24"/>
              </w:rPr>
              <w:t>)</w:t>
            </w:r>
          </w:p>
          <w:p w:rsidR="00AC5FE3" w:rsidRDefault="00AC5FE3" w:rsidP="00AC5FE3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4"/>
                <w:szCs w:val="24"/>
              </w:rPr>
            </w:pPr>
            <w:r w:rsidRPr="00AC5FE3">
              <w:rPr>
                <w:rFonts w:ascii="Verdana" w:hAnsi="Verdana"/>
                <w:sz w:val="24"/>
                <w:szCs w:val="24"/>
              </w:rPr>
              <w:t>T</w:t>
            </w:r>
            <w:r>
              <w:rPr>
                <w:rFonts w:ascii="Verdana" w:hAnsi="Verdana"/>
                <w:sz w:val="24"/>
                <w:szCs w:val="24"/>
              </w:rPr>
              <w:t>otal Beneficiary’s copay or Participant Cost - (</w:t>
            </w:r>
            <w:r w:rsidRPr="00B22A61">
              <w:rPr>
                <w:rFonts w:ascii="Verdana" w:hAnsi="Verdana"/>
                <w:b/>
                <w:sz w:val="24"/>
                <w:szCs w:val="24"/>
              </w:rPr>
              <w:t>Example: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Pr="00AC5FE3">
              <w:rPr>
                <w:rFonts w:ascii="Verdana" w:hAnsi="Verdana"/>
                <w:sz w:val="24"/>
                <w:szCs w:val="24"/>
              </w:rPr>
              <w:t>$491.33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</w:p>
          <w:p w:rsidR="00AC5FE3" w:rsidRP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Note:  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We are able to determine the </w:t>
            </w:r>
            <w:r w:rsidR="008238C1">
              <w:rPr>
                <w:rFonts w:ascii="Verdana" w:hAnsi="Verdana"/>
                <w:sz w:val="24"/>
                <w:szCs w:val="24"/>
              </w:rPr>
              <w:t>stage</w:t>
            </w:r>
            <w:r w:rsidR="008238C1" w:rsidRPr="00AC5FE3">
              <w:rPr>
                <w:rFonts w:ascii="Verdana" w:hAnsi="Verdana"/>
                <w:sz w:val="24"/>
                <w:szCs w:val="24"/>
              </w:rPr>
              <w:t xml:space="preserve">s 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that the claim is processed in because the cost is divided amongst those two </w:t>
            </w:r>
            <w:r w:rsidR="008238C1">
              <w:rPr>
                <w:rFonts w:ascii="Verdana" w:hAnsi="Verdana"/>
                <w:sz w:val="24"/>
                <w:szCs w:val="24"/>
              </w:rPr>
              <w:t>stages</w:t>
            </w:r>
            <w:r w:rsidR="008238C1" w:rsidRPr="00AC5FE3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AC5FE3">
              <w:rPr>
                <w:rFonts w:ascii="Verdana" w:hAnsi="Verdana"/>
                <w:sz w:val="24"/>
                <w:szCs w:val="24"/>
              </w:rPr>
              <w:t>and there is $0.00 c</w:t>
            </w:r>
            <w:r w:rsidR="00B22A61">
              <w:rPr>
                <w:rFonts w:ascii="Verdana" w:hAnsi="Verdana"/>
                <w:sz w:val="24"/>
                <w:szCs w:val="24"/>
              </w:rPr>
              <w:t xml:space="preserve">ost in both the deductible and Initial </w:t>
            </w:r>
            <w:r w:rsidR="008238C1">
              <w:rPr>
                <w:rFonts w:ascii="Verdana" w:hAnsi="Verdana"/>
                <w:sz w:val="24"/>
                <w:szCs w:val="24"/>
              </w:rPr>
              <w:t>Coverage Limit</w:t>
            </w:r>
            <w:r w:rsidRPr="00AC5FE3">
              <w:rPr>
                <w:rFonts w:ascii="Verdana" w:hAnsi="Verdana"/>
                <w:sz w:val="24"/>
                <w:szCs w:val="24"/>
              </w:rPr>
              <w:t>.</w:t>
            </w:r>
          </w:p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C5FE3" w:rsidTr="004321C8">
        <w:tc>
          <w:tcPr>
            <w:tcW w:w="928" w:type="dxa"/>
          </w:tcPr>
          <w:p w:rsidR="00AC5FE3" w:rsidRDefault="00AC5FE3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7</w:t>
            </w:r>
          </w:p>
        </w:tc>
        <w:tc>
          <w:tcPr>
            <w:tcW w:w="17101" w:type="dxa"/>
            <w:gridSpan w:val="2"/>
          </w:tcPr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Advise the </w:t>
            </w:r>
            <w:r w:rsidR="00B22A61">
              <w:rPr>
                <w:rFonts w:ascii="Verdana" w:hAnsi="Verdana"/>
                <w:sz w:val="24"/>
                <w:szCs w:val="24"/>
              </w:rPr>
              <w:t>beneficiary</w:t>
            </w:r>
            <w:r>
              <w:rPr>
                <w:rFonts w:ascii="Verdana" w:hAnsi="Verdana"/>
                <w:sz w:val="24"/>
                <w:szCs w:val="24"/>
              </w:rPr>
              <w:t>:</w:t>
            </w:r>
          </w:p>
          <w:p w:rsidR="00AC5FE3" w:rsidRDefault="00AC5FE3" w:rsidP="006A0744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he cost of their medication causes them to exceed their True </w:t>
            </w:r>
            <w:proofErr w:type="gramStart"/>
            <w:r w:rsidR="00B22A61">
              <w:rPr>
                <w:rFonts w:ascii="Verdana" w:hAnsi="Verdana"/>
                <w:sz w:val="24"/>
                <w:szCs w:val="24"/>
              </w:rPr>
              <w:t>O</w:t>
            </w:r>
            <w:r w:rsidRPr="00AC5FE3">
              <w:rPr>
                <w:rFonts w:ascii="Verdana" w:hAnsi="Verdana"/>
                <w:sz w:val="24"/>
                <w:szCs w:val="24"/>
              </w:rPr>
              <w:t>ut</w:t>
            </w:r>
            <w:proofErr w:type="gramEnd"/>
            <w:r w:rsidRPr="00AC5FE3">
              <w:rPr>
                <w:rFonts w:ascii="Verdana" w:hAnsi="Verdana"/>
                <w:sz w:val="24"/>
                <w:szCs w:val="24"/>
              </w:rPr>
              <w:t xml:space="preserve"> of Pocket amount of $5,100, taking them out of the Coverage </w:t>
            </w:r>
            <w:r w:rsidR="00B22A61">
              <w:rPr>
                <w:rFonts w:ascii="Verdana" w:hAnsi="Verdana"/>
                <w:sz w:val="24"/>
                <w:szCs w:val="24"/>
              </w:rPr>
              <w:t>G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ap and causing them to enter into the Catastrophic </w:t>
            </w:r>
            <w:r w:rsidR="008238C1">
              <w:rPr>
                <w:rFonts w:ascii="Verdana" w:hAnsi="Verdana"/>
                <w:sz w:val="24"/>
                <w:szCs w:val="24"/>
              </w:rPr>
              <w:t>Stage</w:t>
            </w:r>
            <w:r w:rsidRPr="00AC5FE3">
              <w:rPr>
                <w:rFonts w:ascii="Verdana" w:hAnsi="Verdana"/>
                <w:sz w:val="24"/>
                <w:szCs w:val="24"/>
              </w:rPr>
              <w:t>.</w:t>
            </w:r>
          </w:p>
          <w:p w:rsidR="00AC5FE3" w:rsidRDefault="00E91828" w:rsidP="00AC5FE3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copays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 are assessed in both </w:t>
            </w:r>
            <w:r w:rsidR="008238C1">
              <w:rPr>
                <w:rFonts w:ascii="Verdana" w:hAnsi="Verdana"/>
                <w:sz w:val="24"/>
                <w:szCs w:val="24"/>
              </w:rPr>
              <w:t>stages</w:t>
            </w:r>
          </w:p>
          <w:p w:rsidR="00E91828" w:rsidRPr="00AC5FE3" w:rsidRDefault="00E91828" w:rsidP="00E91828">
            <w:pPr>
              <w:pStyle w:val="ListParagraph"/>
              <w:numPr>
                <w:ilvl w:val="1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</w:t>
            </w:r>
            <w:r w:rsidRPr="00B22A61">
              <w:rPr>
                <w:rFonts w:ascii="Verdana" w:hAnsi="Verdana"/>
                <w:b/>
                <w:sz w:val="24"/>
                <w:szCs w:val="24"/>
              </w:rPr>
              <w:t>Example: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="00B22A61">
              <w:rPr>
                <w:rFonts w:ascii="Verdana" w:hAnsi="Verdana"/>
                <w:sz w:val="24"/>
                <w:szCs w:val="24"/>
              </w:rPr>
              <w:t>T</w:t>
            </w:r>
            <w:r w:rsidRPr="00AC5FE3">
              <w:rPr>
                <w:rFonts w:ascii="Verdana" w:hAnsi="Verdana"/>
                <w:sz w:val="24"/>
                <w:szCs w:val="24"/>
              </w:rPr>
              <w:t xml:space="preserve">here is $442.47 copay for the Coverage Gap and $48.86 copay for the Catastrophic </w:t>
            </w:r>
            <w:r w:rsidR="008238C1">
              <w:rPr>
                <w:rFonts w:ascii="Verdana" w:hAnsi="Verdana"/>
                <w:sz w:val="24"/>
                <w:szCs w:val="24"/>
              </w:rPr>
              <w:t>Stage</w:t>
            </w:r>
            <w:r w:rsidRPr="00AC5FE3">
              <w:rPr>
                <w:rFonts w:ascii="Verdana" w:hAnsi="Verdana"/>
                <w:sz w:val="24"/>
                <w:szCs w:val="24"/>
              </w:rPr>
              <w:t>, which equals a total copay of $491.33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  <w:p w:rsidR="00AC5FE3" w:rsidRDefault="00AC5FE3" w:rsidP="00AC5FE3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C5FE3" w:rsidTr="004321C8">
        <w:tc>
          <w:tcPr>
            <w:tcW w:w="928" w:type="dxa"/>
          </w:tcPr>
          <w:p w:rsidR="00AC5FE3" w:rsidRDefault="00E91828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8</w:t>
            </w:r>
          </w:p>
        </w:tc>
        <w:tc>
          <w:tcPr>
            <w:tcW w:w="17101" w:type="dxa"/>
            <w:gridSpan w:val="2"/>
          </w:tcPr>
          <w:p w:rsidR="00AC5FE3" w:rsidRDefault="00E91828" w:rsidP="00AC5F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Review and note the following:</w:t>
            </w:r>
          </w:p>
          <w:p w:rsidR="00E91828" w:rsidRDefault="00E91828" w:rsidP="00E9182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Gap Gross Cost - (</w:t>
            </w:r>
            <w:r w:rsidRPr="00B22A61">
              <w:rPr>
                <w:rFonts w:ascii="Verdana" w:hAnsi="Verdana"/>
                <w:b/>
                <w:sz w:val="24"/>
                <w:szCs w:val="24"/>
              </w:rPr>
              <w:t>Example: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Pr="00AC5FE3">
              <w:rPr>
                <w:rFonts w:ascii="Verdana" w:hAnsi="Verdana"/>
                <w:sz w:val="24"/>
                <w:szCs w:val="24"/>
              </w:rPr>
              <w:t>$1,769.88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  <w:p w:rsidR="00E91828" w:rsidRDefault="00E91828" w:rsidP="00E91828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Catastrophic Gross Cost - (</w:t>
            </w:r>
            <w:r w:rsidRPr="00B22A61">
              <w:rPr>
                <w:rFonts w:ascii="Verdana" w:hAnsi="Verdana"/>
                <w:b/>
                <w:sz w:val="24"/>
                <w:szCs w:val="24"/>
              </w:rPr>
              <w:t>Example: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Pr="00AC5FE3">
              <w:rPr>
                <w:rFonts w:ascii="Verdana" w:hAnsi="Verdana"/>
                <w:sz w:val="24"/>
                <w:szCs w:val="24"/>
              </w:rPr>
              <w:t>$977.28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  <w:p w:rsidR="00AB5FA6" w:rsidRDefault="00AB5FA6" w:rsidP="00AB5FA6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  <w:p w:rsidR="00E91828" w:rsidRDefault="00E91828" w:rsidP="00E91828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39984F" wp14:editId="554DA06F">
                  <wp:extent cx="6766648" cy="46564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661" cy="466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1828" w:rsidRDefault="00E91828" w:rsidP="00E91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E91828" w:rsidRPr="00E91828" w:rsidRDefault="00E91828" w:rsidP="00B22A61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Note:  </w:t>
            </w:r>
            <w:r w:rsidRPr="00E91828">
              <w:rPr>
                <w:rFonts w:ascii="Verdana" w:hAnsi="Verdana"/>
                <w:sz w:val="24"/>
                <w:szCs w:val="24"/>
              </w:rPr>
              <w:t>When calculating a claim for a brand medication in the gap, due to the Medicare Ga</w:t>
            </w:r>
            <w:r w:rsidR="00B22A61">
              <w:rPr>
                <w:rFonts w:ascii="Verdana" w:hAnsi="Verdana"/>
                <w:sz w:val="24"/>
                <w:szCs w:val="24"/>
              </w:rPr>
              <w:t>p Discount program, 95% of the t</w:t>
            </w:r>
            <w:r w:rsidRPr="00E91828">
              <w:rPr>
                <w:rFonts w:ascii="Verdana" w:hAnsi="Verdana"/>
                <w:sz w:val="24"/>
                <w:szCs w:val="24"/>
              </w:rPr>
              <w:t xml:space="preserve">otal </w:t>
            </w:r>
            <w:r w:rsidR="00B22A61">
              <w:rPr>
                <w:rFonts w:ascii="Verdana" w:hAnsi="Verdana"/>
                <w:sz w:val="24"/>
                <w:szCs w:val="24"/>
              </w:rPr>
              <w:t>c</w:t>
            </w:r>
            <w:r w:rsidRPr="00E91828">
              <w:rPr>
                <w:rFonts w:ascii="Verdana" w:hAnsi="Verdana"/>
                <w:sz w:val="24"/>
                <w:szCs w:val="24"/>
              </w:rPr>
              <w:t xml:space="preserve">ost of </w:t>
            </w:r>
            <w:r w:rsidR="00B22A61">
              <w:rPr>
                <w:rFonts w:ascii="Verdana" w:hAnsi="Verdana"/>
                <w:sz w:val="24"/>
                <w:szCs w:val="24"/>
              </w:rPr>
              <w:t>a medication is applied to the C</w:t>
            </w:r>
            <w:r w:rsidRPr="00E91828">
              <w:rPr>
                <w:rFonts w:ascii="Verdana" w:hAnsi="Verdana"/>
                <w:sz w:val="24"/>
                <w:szCs w:val="24"/>
              </w:rPr>
              <w:t xml:space="preserve">overage </w:t>
            </w:r>
            <w:r w:rsidR="00B22A61">
              <w:rPr>
                <w:rFonts w:ascii="Verdana" w:hAnsi="Verdana"/>
                <w:sz w:val="24"/>
                <w:szCs w:val="24"/>
              </w:rPr>
              <w:t>G</w:t>
            </w:r>
            <w:r w:rsidRPr="00E91828">
              <w:rPr>
                <w:rFonts w:ascii="Verdana" w:hAnsi="Verdana"/>
                <w:sz w:val="24"/>
                <w:szCs w:val="24"/>
              </w:rPr>
              <w:t xml:space="preserve">ap. </w:t>
            </w:r>
            <w:r>
              <w:rPr>
                <w:rFonts w:ascii="Verdana" w:hAnsi="Verdana"/>
                <w:sz w:val="24"/>
                <w:szCs w:val="24"/>
              </w:rPr>
              <w:t>To</w:t>
            </w:r>
            <w:r w:rsidRPr="00E91828">
              <w:rPr>
                <w:rFonts w:ascii="Verdana" w:hAnsi="Verdana"/>
                <w:sz w:val="24"/>
                <w:szCs w:val="24"/>
              </w:rPr>
              <w:t xml:space="preserve"> confi</w:t>
            </w:r>
            <w:r>
              <w:rPr>
                <w:rFonts w:ascii="Verdana" w:hAnsi="Verdana"/>
                <w:sz w:val="24"/>
                <w:szCs w:val="24"/>
              </w:rPr>
              <w:t>rm how much was applied to the C</w:t>
            </w:r>
            <w:r w:rsidRPr="00E91828">
              <w:rPr>
                <w:rFonts w:ascii="Verdana" w:hAnsi="Verdana"/>
                <w:sz w:val="24"/>
                <w:szCs w:val="24"/>
              </w:rPr>
              <w:t xml:space="preserve">overage </w:t>
            </w:r>
            <w:r>
              <w:rPr>
                <w:rFonts w:ascii="Verdana" w:hAnsi="Verdana"/>
                <w:sz w:val="24"/>
                <w:szCs w:val="24"/>
              </w:rPr>
              <w:t>G</w:t>
            </w:r>
            <w:r w:rsidRPr="00E91828">
              <w:rPr>
                <w:rFonts w:ascii="Verdana" w:hAnsi="Verdana"/>
                <w:sz w:val="24"/>
                <w:szCs w:val="24"/>
              </w:rPr>
              <w:t xml:space="preserve">ap </w:t>
            </w:r>
            <w:r>
              <w:rPr>
                <w:rFonts w:ascii="Verdana" w:hAnsi="Verdana"/>
                <w:sz w:val="24"/>
                <w:szCs w:val="24"/>
              </w:rPr>
              <w:t>multiple</w:t>
            </w:r>
            <w:r w:rsidRPr="00E91828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the Gap Cross Cost</w:t>
            </w:r>
            <w:r w:rsidRPr="00E91828">
              <w:rPr>
                <w:rFonts w:ascii="Verdana" w:hAnsi="Verdana"/>
                <w:sz w:val="24"/>
                <w:szCs w:val="24"/>
              </w:rPr>
              <w:t xml:space="preserve"> ($1,769.88) by 0.95 and the resulting amount ($1,681.38) should match what is in the Remaining Amount column on the Account Balance Screen.</w:t>
            </w:r>
          </w:p>
        </w:tc>
      </w:tr>
      <w:tr w:rsidR="00E91828" w:rsidTr="004321C8">
        <w:tc>
          <w:tcPr>
            <w:tcW w:w="928" w:type="dxa"/>
          </w:tcPr>
          <w:p w:rsidR="00E91828" w:rsidRDefault="00E91828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9</w:t>
            </w:r>
          </w:p>
        </w:tc>
        <w:tc>
          <w:tcPr>
            <w:tcW w:w="17101" w:type="dxa"/>
            <w:gridSpan w:val="2"/>
          </w:tcPr>
          <w:p w:rsidR="00B22A61" w:rsidRDefault="00E91828" w:rsidP="00AC5F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Review the Plan Design to determine what the beneficiary is responsible for paying.</w:t>
            </w:r>
          </w:p>
          <w:p w:rsidR="00B22A61" w:rsidRDefault="00B22A61" w:rsidP="00AC5FE3">
            <w:pPr>
              <w:rPr>
                <w:rFonts w:ascii="Verdana" w:hAnsi="Verdana"/>
                <w:sz w:val="24"/>
                <w:szCs w:val="24"/>
              </w:rPr>
            </w:pPr>
          </w:p>
          <w:p w:rsidR="00E91828" w:rsidRDefault="00E91828" w:rsidP="00AC5FE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</w:t>
            </w:r>
            <w:r w:rsidRPr="00B22A61">
              <w:rPr>
                <w:rFonts w:ascii="Verdana" w:hAnsi="Verdana"/>
                <w:b/>
                <w:sz w:val="24"/>
                <w:szCs w:val="24"/>
              </w:rPr>
              <w:t>Example:</w:t>
            </w:r>
            <w:r>
              <w:rPr>
                <w:rFonts w:ascii="Verdana" w:hAnsi="Verdana"/>
                <w:sz w:val="24"/>
                <w:szCs w:val="24"/>
              </w:rPr>
              <w:t xml:space="preserve">  Beneficiary is </w:t>
            </w:r>
            <w:r w:rsidRPr="00E91828">
              <w:rPr>
                <w:rFonts w:ascii="Verdana" w:hAnsi="Verdana"/>
                <w:sz w:val="24"/>
                <w:szCs w:val="24"/>
              </w:rPr>
              <w:t xml:space="preserve">responsible for 25% of the cost of brand medications while in the </w:t>
            </w:r>
            <w:r w:rsidR="00B22A61">
              <w:rPr>
                <w:rFonts w:ascii="Verdana" w:hAnsi="Verdana"/>
                <w:sz w:val="24"/>
                <w:szCs w:val="24"/>
              </w:rPr>
              <w:t>Coverage G</w:t>
            </w:r>
            <w:r w:rsidRPr="00E91828">
              <w:rPr>
                <w:rFonts w:ascii="Verdana" w:hAnsi="Verdana"/>
                <w:sz w:val="24"/>
                <w:szCs w:val="24"/>
              </w:rPr>
              <w:t>ap and the greater of $3.40 or 5% of the cost of brand medications w</w:t>
            </w:r>
            <w:r>
              <w:rPr>
                <w:rFonts w:ascii="Verdana" w:hAnsi="Verdana"/>
                <w:sz w:val="24"/>
                <w:szCs w:val="24"/>
              </w:rPr>
              <w:t xml:space="preserve">hile in the Catastrophic </w:t>
            </w:r>
            <w:r w:rsidR="008238C1">
              <w:rPr>
                <w:rFonts w:ascii="Verdana" w:hAnsi="Verdana"/>
                <w:sz w:val="24"/>
                <w:szCs w:val="24"/>
              </w:rPr>
              <w:t>Stage</w:t>
            </w:r>
            <w:r>
              <w:rPr>
                <w:rFonts w:ascii="Verdana" w:hAnsi="Verdana"/>
                <w:sz w:val="24"/>
                <w:szCs w:val="24"/>
              </w:rPr>
              <w:t xml:space="preserve">.) </w:t>
            </w:r>
          </w:p>
          <w:p w:rsidR="00E91828" w:rsidRDefault="00E91828" w:rsidP="00AC5FE3">
            <w:pPr>
              <w:rPr>
                <w:rFonts w:ascii="Verdana" w:hAnsi="Verdana"/>
                <w:sz w:val="24"/>
                <w:szCs w:val="24"/>
              </w:rPr>
            </w:pPr>
          </w:p>
          <w:p w:rsidR="004321C8" w:rsidRDefault="00E91828" w:rsidP="00E91828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F12E63" wp14:editId="42E549CA">
                  <wp:extent cx="5731888" cy="3713480"/>
                  <wp:effectExtent l="0" t="0" r="254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962" cy="371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39C" w:rsidRDefault="002F239C" w:rsidP="00E9182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E91828" w:rsidTr="004321C8">
        <w:tc>
          <w:tcPr>
            <w:tcW w:w="928" w:type="dxa"/>
          </w:tcPr>
          <w:p w:rsidR="00E91828" w:rsidRDefault="00E91828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10</w:t>
            </w:r>
          </w:p>
        </w:tc>
        <w:tc>
          <w:tcPr>
            <w:tcW w:w="17101" w:type="dxa"/>
            <w:gridSpan w:val="2"/>
          </w:tcPr>
          <w:p w:rsidR="00B22A61" w:rsidRDefault="00B22A61" w:rsidP="00E918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Calculate the </w:t>
            </w:r>
            <w:r w:rsidR="009B44AD">
              <w:rPr>
                <w:rFonts w:ascii="Verdana" w:hAnsi="Verdana"/>
                <w:sz w:val="24"/>
                <w:szCs w:val="24"/>
              </w:rPr>
              <w:t xml:space="preserve">Coverage </w:t>
            </w:r>
            <w:r>
              <w:rPr>
                <w:rFonts w:ascii="Verdana" w:hAnsi="Verdana"/>
                <w:sz w:val="24"/>
                <w:szCs w:val="24"/>
              </w:rPr>
              <w:t>Gap Copay.</w:t>
            </w:r>
          </w:p>
          <w:p w:rsidR="00B22A61" w:rsidRDefault="00B22A61" w:rsidP="00E91828">
            <w:pPr>
              <w:rPr>
                <w:rFonts w:ascii="Verdana" w:hAnsi="Verdana"/>
                <w:sz w:val="24"/>
                <w:szCs w:val="24"/>
              </w:rPr>
            </w:pPr>
          </w:p>
          <w:p w:rsidR="00B22A61" w:rsidRDefault="00B22A61" w:rsidP="00E918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</w:t>
            </w:r>
            <w:r w:rsidRPr="00B22A61">
              <w:rPr>
                <w:rFonts w:ascii="Verdana" w:hAnsi="Verdana"/>
                <w:b/>
                <w:sz w:val="24"/>
                <w:szCs w:val="24"/>
              </w:rPr>
              <w:t>Example:</w:t>
            </w:r>
          </w:p>
          <w:p w:rsidR="00B22A61" w:rsidRDefault="00B22A61" w:rsidP="00B22A61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B22A61">
              <w:rPr>
                <w:rFonts w:ascii="Verdana" w:hAnsi="Verdana"/>
                <w:sz w:val="24"/>
                <w:szCs w:val="24"/>
              </w:rPr>
              <w:t>From Step 8, the Gap Gross Cost is the amount that was applies in the Coverage Gap.</w:t>
            </w:r>
          </w:p>
          <w:p w:rsidR="00B22A61" w:rsidRDefault="00B22A61" w:rsidP="00B22A61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From Step 9, the beneficiary is responsible for 25% of the cost in the Coverage Gap.</w:t>
            </w:r>
          </w:p>
          <w:p w:rsidR="00E91828" w:rsidRPr="00B22A61" w:rsidRDefault="00B22A61" w:rsidP="00B22A61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</w:t>
            </w:r>
            <w:r w:rsidR="00E91828" w:rsidRPr="00B22A61">
              <w:rPr>
                <w:rFonts w:ascii="Verdana" w:hAnsi="Verdana"/>
                <w:sz w:val="24"/>
                <w:szCs w:val="24"/>
              </w:rPr>
              <w:t xml:space="preserve">ultiply the Gap Gross Cost by </w:t>
            </w:r>
            <w:r w:rsidR="001A3C59">
              <w:rPr>
                <w:rFonts w:ascii="Verdana" w:hAnsi="Verdana"/>
                <w:sz w:val="24"/>
                <w:szCs w:val="24"/>
              </w:rPr>
              <w:t>0.25 (</w:t>
            </w:r>
            <w:r w:rsidR="00E91828" w:rsidRPr="00B22A61">
              <w:rPr>
                <w:rFonts w:ascii="Verdana" w:hAnsi="Verdana"/>
                <w:sz w:val="24"/>
                <w:szCs w:val="24"/>
              </w:rPr>
              <w:t>25%</w:t>
            </w:r>
            <w:r w:rsidR="001A3C59">
              <w:rPr>
                <w:rFonts w:ascii="Verdana" w:hAnsi="Verdana"/>
                <w:sz w:val="24"/>
                <w:szCs w:val="24"/>
              </w:rPr>
              <w:t>)</w:t>
            </w:r>
          </w:p>
          <w:p w:rsidR="00E91828" w:rsidRDefault="00E91828" w:rsidP="00B22A61">
            <w:pPr>
              <w:pStyle w:val="ListParagraph"/>
              <w:numPr>
                <w:ilvl w:val="1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B22A61">
              <w:rPr>
                <w:rFonts w:ascii="Verdana" w:hAnsi="Verdana"/>
                <w:sz w:val="24"/>
                <w:szCs w:val="24"/>
              </w:rPr>
              <w:t xml:space="preserve">$1,769.88 by 0.25 </w:t>
            </w:r>
            <w:r w:rsidR="001A3C59">
              <w:rPr>
                <w:rFonts w:ascii="Verdana" w:hAnsi="Verdana"/>
                <w:sz w:val="24"/>
                <w:szCs w:val="24"/>
              </w:rPr>
              <w:t xml:space="preserve">(25%) </w:t>
            </w:r>
            <w:r w:rsidR="00AB5FA6">
              <w:rPr>
                <w:rFonts w:ascii="Verdana" w:hAnsi="Verdana"/>
                <w:sz w:val="24"/>
                <w:szCs w:val="24"/>
              </w:rPr>
              <w:t>= $442.47)</w:t>
            </w:r>
          </w:p>
          <w:p w:rsidR="00B22A61" w:rsidRPr="00B22A61" w:rsidRDefault="00B22A61" w:rsidP="00B22A61">
            <w:pPr>
              <w:ind w:left="1080"/>
              <w:rPr>
                <w:rFonts w:ascii="Verdana" w:hAnsi="Verdana"/>
                <w:sz w:val="24"/>
                <w:szCs w:val="24"/>
              </w:rPr>
            </w:pPr>
          </w:p>
        </w:tc>
      </w:tr>
      <w:tr w:rsidR="00E91828" w:rsidTr="004321C8">
        <w:tc>
          <w:tcPr>
            <w:tcW w:w="928" w:type="dxa"/>
          </w:tcPr>
          <w:p w:rsidR="00E91828" w:rsidRDefault="00E91828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11</w:t>
            </w:r>
          </w:p>
        </w:tc>
        <w:tc>
          <w:tcPr>
            <w:tcW w:w="17101" w:type="dxa"/>
            <w:gridSpan w:val="2"/>
          </w:tcPr>
          <w:p w:rsidR="00B22A61" w:rsidRDefault="00B22A61" w:rsidP="00E918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Calculate the Catastrophic Copay.</w:t>
            </w:r>
          </w:p>
          <w:p w:rsidR="00B22A61" w:rsidRDefault="00B22A61" w:rsidP="00E91828">
            <w:pPr>
              <w:rPr>
                <w:rFonts w:ascii="Verdana" w:hAnsi="Verdana"/>
                <w:sz w:val="24"/>
                <w:szCs w:val="24"/>
              </w:rPr>
            </w:pPr>
          </w:p>
          <w:p w:rsidR="00B22A61" w:rsidRDefault="00B22A61" w:rsidP="00B22A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</w:t>
            </w:r>
            <w:r w:rsidRPr="00B22A61">
              <w:rPr>
                <w:rFonts w:ascii="Verdana" w:hAnsi="Verdana"/>
                <w:b/>
                <w:sz w:val="24"/>
                <w:szCs w:val="24"/>
              </w:rPr>
              <w:t>Example:</w:t>
            </w:r>
          </w:p>
          <w:p w:rsidR="00B22A61" w:rsidRDefault="00B22A61" w:rsidP="00B22A61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From Step 6, the total cost of the medication is </w:t>
            </w:r>
            <w:r w:rsidRPr="00AC5FE3">
              <w:rPr>
                <w:rFonts w:ascii="Verdana" w:hAnsi="Verdana"/>
                <w:sz w:val="24"/>
                <w:szCs w:val="24"/>
              </w:rPr>
              <w:t>$2,747.16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B22A61" w:rsidRPr="00B22A61" w:rsidRDefault="009B44AD" w:rsidP="00B22A61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From Step 8, the Gap Gross Cost is </w:t>
            </w:r>
            <w:r w:rsidRPr="00AC5FE3">
              <w:rPr>
                <w:rFonts w:ascii="Verdana" w:hAnsi="Verdana"/>
                <w:sz w:val="24"/>
                <w:szCs w:val="24"/>
              </w:rPr>
              <w:t>$1,769.88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E91828" w:rsidRPr="009B44AD" w:rsidRDefault="00E91828" w:rsidP="009B44AD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9B44AD">
              <w:rPr>
                <w:rFonts w:ascii="Verdana" w:hAnsi="Verdana"/>
                <w:sz w:val="24"/>
                <w:szCs w:val="24"/>
              </w:rPr>
              <w:t xml:space="preserve">Subtract the </w:t>
            </w:r>
            <w:r w:rsidR="009B44AD">
              <w:rPr>
                <w:rFonts w:ascii="Verdana" w:hAnsi="Verdana"/>
                <w:sz w:val="24"/>
                <w:szCs w:val="24"/>
              </w:rPr>
              <w:t>Gap Gross Cost</w:t>
            </w:r>
            <w:r w:rsidRPr="009B44AD">
              <w:rPr>
                <w:rFonts w:ascii="Verdana" w:hAnsi="Verdana"/>
                <w:sz w:val="24"/>
                <w:szCs w:val="24"/>
              </w:rPr>
              <w:t xml:space="preserve"> from the Total Cost of the medication.</w:t>
            </w:r>
          </w:p>
          <w:p w:rsidR="009B44AD" w:rsidRDefault="00E91828" w:rsidP="009B44AD">
            <w:pPr>
              <w:pStyle w:val="ListParagraph"/>
              <w:numPr>
                <w:ilvl w:val="1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9B44AD">
              <w:rPr>
                <w:rFonts w:ascii="Verdana" w:hAnsi="Verdana"/>
                <w:sz w:val="24"/>
                <w:szCs w:val="24"/>
              </w:rPr>
              <w:t>$2,747.16 - $1,769.88 =</w:t>
            </w:r>
            <w:r w:rsidR="002F239C" w:rsidRPr="009B44AD">
              <w:rPr>
                <w:rFonts w:ascii="Verdana" w:hAnsi="Verdana"/>
                <w:sz w:val="24"/>
                <w:szCs w:val="24"/>
              </w:rPr>
              <w:t xml:space="preserve"> $977.28</w:t>
            </w:r>
            <w:r w:rsidR="009B44AD">
              <w:rPr>
                <w:rFonts w:ascii="Verdana" w:hAnsi="Verdana"/>
                <w:sz w:val="24"/>
                <w:szCs w:val="24"/>
              </w:rPr>
              <w:t xml:space="preserve"> (Catastrophic Gross Cost)</w:t>
            </w:r>
          </w:p>
          <w:p w:rsidR="009B44AD" w:rsidRPr="009B44AD" w:rsidRDefault="009B44AD" w:rsidP="009B44AD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9B44AD">
              <w:rPr>
                <w:rFonts w:ascii="Verdana" w:hAnsi="Verdana"/>
                <w:sz w:val="24"/>
                <w:szCs w:val="24"/>
              </w:rPr>
              <w:t xml:space="preserve">From Step 9, the beneficiary is responsible for the greater of $3.40 or 5% of the cost of brand medications while in the Catastrophic </w:t>
            </w:r>
            <w:r w:rsidR="008238C1">
              <w:rPr>
                <w:rFonts w:ascii="Verdana" w:hAnsi="Verdana"/>
                <w:sz w:val="24"/>
                <w:szCs w:val="24"/>
              </w:rPr>
              <w:t>Stage</w:t>
            </w:r>
            <w:r w:rsidRPr="009B44AD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9B44AD" w:rsidRPr="009B44AD" w:rsidRDefault="009B44AD" w:rsidP="009B44AD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Multiple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Catatrophic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Gross Cost by 0.05 (5%)</w:t>
            </w:r>
          </w:p>
          <w:p w:rsidR="009B44AD" w:rsidRDefault="009B44AD" w:rsidP="009B44AD">
            <w:pPr>
              <w:pStyle w:val="ListParagraph"/>
              <w:numPr>
                <w:ilvl w:val="1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2F239C">
              <w:rPr>
                <w:rFonts w:ascii="Verdana" w:hAnsi="Verdana"/>
                <w:sz w:val="24"/>
                <w:szCs w:val="24"/>
              </w:rPr>
              <w:t xml:space="preserve">$977.28 </w:t>
            </w:r>
            <w:r>
              <w:rPr>
                <w:rFonts w:ascii="Verdana" w:hAnsi="Verdana"/>
                <w:sz w:val="24"/>
                <w:szCs w:val="24"/>
              </w:rPr>
              <w:t>X</w:t>
            </w:r>
            <w:r w:rsidRPr="002F239C">
              <w:rPr>
                <w:rFonts w:ascii="Verdana" w:hAnsi="Verdana"/>
                <w:sz w:val="24"/>
                <w:szCs w:val="24"/>
              </w:rPr>
              <w:t xml:space="preserve"> 0.05 (5%)</w:t>
            </w:r>
            <w:r>
              <w:rPr>
                <w:rFonts w:ascii="Verdana" w:hAnsi="Verdana"/>
                <w:sz w:val="24"/>
                <w:szCs w:val="24"/>
              </w:rPr>
              <w:t xml:space="preserve"> = </w:t>
            </w:r>
            <w:r w:rsidRPr="002F239C">
              <w:rPr>
                <w:rFonts w:ascii="Verdana" w:hAnsi="Verdana"/>
                <w:sz w:val="24"/>
                <w:szCs w:val="24"/>
              </w:rPr>
              <w:t>$48.86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  <w:p w:rsidR="002F239C" w:rsidRPr="002F239C" w:rsidRDefault="002F239C" w:rsidP="009B44AD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2F239C" w:rsidTr="004321C8">
        <w:tc>
          <w:tcPr>
            <w:tcW w:w="928" w:type="dxa"/>
          </w:tcPr>
          <w:p w:rsidR="002F239C" w:rsidRDefault="002F239C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12</w:t>
            </w:r>
          </w:p>
        </w:tc>
        <w:tc>
          <w:tcPr>
            <w:tcW w:w="17101" w:type="dxa"/>
            <w:gridSpan w:val="2"/>
          </w:tcPr>
          <w:p w:rsidR="002F239C" w:rsidRDefault="002F239C" w:rsidP="00E918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Add the Coverage Gap Copay and the Catastrophic Copay </w:t>
            </w:r>
            <w:r w:rsidR="009B44AD">
              <w:rPr>
                <w:rFonts w:ascii="Verdana" w:hAnsi="Verdana"/>
                <w:sz w:val="24"/>
                <w:szCs w:val="24"/>
              </w:rPr>
              <w:t>for</w:t>
            </w:r>
            <w:r>
              <w:rPr>
                <w:rFonts w:ascii="Verdana" w:hAnsi="Verdana"/>
                <w:sz w:val="24"/>
                <w:szCs w:val="24"/>
              </w:rPr>
              <w:t xml:space="preserve"> total copay.</w:t>
            </w:r>
          </w:p>
          <w:p w:rsidR="002F239C" w:rsidRDefault="002F239C" w:rsidP="00E91828">
            <w:pPr>
              <w:rPr>
                <w:rFonts w:ascii="Verdana" w:hAnsi="Verdana"/>
                <w:sz w:val="24"/>
                <w:szCs w:val="24"/>
              </w:rPr>
            </w:pPr>
          </w:p>
          <w:p w:rsidR="002F239C" w:rsidRDefault="002F239C" w:rsidP="00E918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</w:t>
            </w:r>
            <w:r w:rsidRPr="009B44AD">
              <w:rPr>
                <w:rFonts w:ascii="Verdana" w:hAnsi="Verdana"/>
                <w:b/>
                <w:sz w:val="24"/>
                <w:szCs w:val="24"/>
              </w:rPr>
              <w:t>Example:</w:t>
            </w: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 w:rsidRPr="00AC5FE3">
              <w:rPr>
                <w:rFonts w:ascii="Verdana" w:hAnsi="Verdana"/>
                <w:sz w:val="24"/>
                <w:szCs w:val="24"/>
              </w:rPr>
              <w:t>$442.47</w:t>
            </w:r>
            <w:r>
              <w:rPr>
                <w:rFonts w:ascii="Verdana" w:hAnsi="Verdana"/>
                <w:sz w:val="24"/>
                <w:szCs w:val="24"/>
              </w:rPr>
              <w:t xml:space="preserve"> + </w:t>
            </w:r>
            <w:r w:rsidRPr="00AC5FE3">
              <w:rPr>
                <w:rFonts w:ascii="Verdana" w:hAnsi="Verdana"/>
                <w:sz w:val="24"/>
                <w:szCs w:val="24"/>
              </w:rPr>
              <w:t>$48.86</w:t>
            </w:r>
            <w:r>
              <w:rPr>
                <w:rFonts w:ascii="Verdana" w:hAnsi="Verdana"/>
                <w:sz w:val="24"/>
                <w:szCs w:val="24"/>
              </w:rPr>
              <w:t xml:space="preserve"> = </w:t>
            </w:r>
            <w:r w:rsidR="00AB5FA6">
              <w:rPr>
                <w:rFonts w:ascii="Verdana" w:hAnsi="Verdana"/>
                <w:sz w:val="24"/>
                <w:szCs w:val="24"/>
              </w:rPr>
              <w:t>$491.33</w:t>
            </w:r>
            <w:r w:rsidR="005C2CD0">
              <w:rPr>
                <w:rFonts w:ascii="Verdana" w:hAnsi="Verdana"/>
                <w:sz w:val="24"/>
                <w:szCs w:val="24"/>
              </w:rPr>
              <w:t>)</w:t>
            </w:r>
          </w:p>
        </w:tc>
      </w:tr>
      <w:tr w:rsidR="002F239C" w:rsidTr="004321C8">
        <w:tc>
          <w:tcPr>
            <w:tcW w:w="928" w:type="dxa"/>
          </w:tcPr>
          <w:p w:rsidR="002F239C" w:rsidRDefault="002F239C" w:rsidP="00AC5FE3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13</w:t>
            </w:r>
          </w:p>
        </w:tc>
        <w:tc>
          <w:tcPr>
            <w:tcW w:w="17101" w:type="dxa"/>
            <w:gridSpan w:val="2"/>
          </w:tcPr>
          <w:p w:rsidR="002F239C" w:rsidRDefault="002F239C" w:rsidP="00E9182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Provide Mr. </w:t>
            </w:r>
            <w:r w:rsidR="009B44AD">
              <w:rPr>
                <w:rFonts w:ascii="Verdana" w:hAnsi="Verdana"/>
                <w:sz w:val="24"/>
                <w:szCs w:val="24"/>
              </w:rPr>
              <w:t>Matthews</w:t>
            </w:r>
            <w:r>
              <w:rPr>
                <w:rFonts w:ascii="Verdana" w:hAnsi="Verdana"/>
                <w:sz w:val="24"/>
                <w:szCs w:val="24"/>
              </w:rPr>
              <w:t xml:space="preserve"> with details on how each value was obtained and address and other questions. </w:t>
            </w:r>
          </w:p>
        </w:tc>
      </w:tr>
    </w:tbl>
    <w:p w:rsidR="009E7925" w:rsidRDefault="009E7925" w:rsidP="006D7008">
      <w:pPr>
        <w:pStyle w:val="Style1"/>
        <w:spacing w:after="0" w:line="240" w:lineRule="auto"/>
        <w:jc w:val="left"/>
        <w:rPr>
          <w:rFonts w:ascii="Verdana" w:hAnsi="Verdana"/>
          <w:sz w:val="24"/>
          <w:szCs w:val="24"/>
          <w:u w:val="none"/>
          <w14:shadow w14:blurRad="0" w14:dist="0" w14:dir="0" w14:sx="0" w14:sy="0" w14:kx="0" w14:ky="0" w14:algn="none">
            <w14:srgbClr w14:val="000000"/>
          </w14:shadow>
        </w:rPr>
      </w:pPr>
    </w:p>
    <w:p w:rsidR="001E3048" w:rsidRPr="00B37077" w:rsidRDefault="004D4E6C" w:rsidP="001E3048">
      <w:pPr>
        <w:jc w:val="right"/>
        <w:rPr>
          <w:rFonts w:ascii="Verdana" w:hAnsi="Verdana"/>
          <w:color w:val="0000FF"/>
          <w:sz w:val="24"/>
          <w:szCs w:val="24"/>
        </w:rPr>
      </w:pPr>
      <w:hyperlink w:anchor="_top" w:history="1">
        <w:r w:rsidR="001E3048" w:rsidRPr="00B37077">
          <w:rPr>
            <w:rStyle w:val="Hyperlink"/>
            <w:rFonts w:ascii="Verdana" w:hAnsi="Verdana"/>
            <w:color w:val="0000FF"/>
            <w:sz w:val="24"/>
            <w:szCs w:val="24"/>
          </w:rPr>
          <w:t>Top of the Document</w:t>
        </w:r>
      </w:hyperlink>
    </w:p>
    <w:p w:rsidR="001E3048" w:rsidRPr="005D7976" w:rsidRDefault="001E3048" w:rsidP="001E3048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:rsidR="001E3048" w:rsidRPr="00AC5FE3" w:rsidRDefault="001E3048" w:rsidP="006D7008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sectPr w:rsidR="001E3048" w:rsidRPr="00AC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43EA3"/>
    <w:multiLevelType w:val="hybridMultilevel"/>
    <w:tmpl w:val="C736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82EA8"/>
    <w:multiLevelType w:val="hybridMultilevel"/>
    <w:tmpl w:val="38521A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2422ECB"/>
    <w:multiLevelType w:val="hybridMultilevel"/>
    <w:tmpl w:val="D61ED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65714A"/>
    <w:multiLevelType w:val="hybridMultilevel"/>
    <w:tmpl w:val="F5E88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163BD7"/>
    <w:multiLevelType w:val="hybridMultilevel"/>
    <w:tmpl w:val="A8EE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66BD4"/>
    <w:multiLevelType w:val="hybridMultilevel"/>
    <w:tmpl w:val="027C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E3566"/>
    <w:multiLevelType w:val="hybridMultilevel"/>
    <w:tmpl w:val="9348B3E8"/>
    <w:lvl w:ilvl="0" w:tplc="268E6B86">
      <w:start w:val="1"/>
      <w:numFmt w:val="bullet"/>
      <w:lvlText w:val="▫"/>
      <w:lvlJc w:val="left"/>
      <w:pPr>
        <w:ind w:left="720" w:hanging="360"/>
      </w:pPr>
      <w:rPr>
        <w:rFonts w:ascii="Franklin Gothic Book" w:hAnsi="Franklin Gothic Book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C1BDD"/>
    <w:multiLevelType w:val="hybridMultilevel"/>
    <w:tmpl w:val="261E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2B"/>
    <w:rsid w:val="00034372"/>
    <w:rsid w:val="00065243"/>
    <w:rsid w:val="00075376"/>
    <w:rsid w:val="000F04B8"/>
    <w:rsid w:val="00105691"/>
    <w:rsid w:val="0014209D"/>
    <w:rsid w:val="0016392B"/>
    <w:rsid w:val="001756ED"/>
    <w:rsid w:val="001A3C59"/>
    <w:rsid w:val="001C5CC2"/>
    <w:rsid w:val="001E3048"/>
    <w:rsid w:val="001F146E"/>
    <w:rsid w:val="00250328"/>
    <w:rsid w:val="00265FA8"/>
    <w:rsid w:val="00290418"/>
    <w:rsid w:val="002F239C"/>
    <w:rsid w:val="00393443"/>
    <w:rsid w:val="003F27DB"/>
    <w:rsid w:val="00410BC0"/>
    <w:rsid w:val="004321C8"/>
    <w:rsid w:val="00454CFE"/>
    <w:rsid w:val="004657C3"/>
    <w:rsid w:val="0047646E"/>
    <w:rsid w:val="00476AE5"/>
    <w:rsid w:val="004C3F2C"/>
    <w:rsid w:val="004D4E6C"/>
    <w:rsid w:val="0053247E"/>
    <w:rsid w:val="00583C7A"/>
    <w:rsid w:val="005C2CD0"/>
    <w:rsid w:val="00662411"/>
    <w:rsid w:val="0067419C"/>
    <w:rsid w:val="006A0744"/>
    <w:rsid w:val="006A71ED"/>
    <w:rsid w:val="006D7008"/>
    <w:rsid w:val="007C5006"/>
    <w:rsid w:val="007C7F37"/>
    <w:rsid w:val="007E2582"/>
    <w:rsid w:val="008175AA"/>
    <w:rsid w:val="008238C1"/>
    <w:rsid w:val="00985F8F"/>
    <w:rsid w:val="009A0ECB"/>
    <w:rsid w:val="009A12B5"/>
    <w:rsid w:val="009B44AD"/>
    <w:rsid w:val="009E2AAD"/>
    <w:rsid w:val="009E7925"/>
    <w:rsid w:val="00AA6107"/>
    <w:rsid w:val="00AB5FA6"/>
    <w:rsid w:val="00AC5FE3"/>
    <w:rsid w:val="00B22A61"/>
    <w:rsid w:val="00BE3004"/>
    <w:rsid w:val="00C120A4"/>
    <w:rsid w:val="00C21252"/>
    <w:rsid w:val="00C228A1"/>
    <w:rsid w:val="00C45398"/>
    <w:rsid w:val="00C565E0"/>
    <w:rsid w:val="00DA674D"/>
    <w:rsid w:val="00E2462B"/>
    <w:rsid w:val="00E26000"/>
    <w:rsid w:val="00E8072C"/>
    <w:rsid w:val="00E84CCC"/>
    <w:rsid w:val="00E91828"/>
    <w:rsid w:val="00EA0C36"/>
    <w:rsid w:val="00EA33F5"/>
    <w:rsid w:val="00ED1EA4"/>
    <w:rsid w:val="00F20E0D"/>
    <w:rsid w:val="00F54BCC"/>
    <w:rsid w:val="00FC1791"/>
    <w:rsid w:val="00FC2B77"/>
    <w:rsid w:val="00FE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22C18-CC9A-457F-A2F2-4EC488AA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B77"/>
  </w:style>
  <w:style w:type="paragraph" w:styleId="Heading1">
    <w:name w:val="heading 1"/>
    <w:basedOn w:val="Normal"/>
    <w:next w:val="Normal"/>
    <w:link w:val="Heading1Char"/>
    <w:uiPriority w:val="9"/>
    <w:qFormat/>
    <w:rsid w:val="00FC2B7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B7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B7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B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B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B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B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B7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rsid w:val="0016392B"/>
    <w:pPr>
      <w:jc w:val="center"/>
    </w:pPr>
    <w:rPr>
      <w:rFonts w:ascii="Franklin Gothic Book" w:hAnsi="Franklin Gothic Book"/>
      <w:sz w:val="40"/>
      <w:szCs w:val="40"/>
      <w:u w:val="single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9E7925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16392B"/>
    <w:rPr>
      <w:rFonts w:ascii="Franklin Gothic Book" w:hAnsi="Franklin Gothic Book"/>
      <w:sz w:val="40"/>
      <w:szCs w:val="40"/>
      <w:u w:val="single"/>
      <w14:shadow w14:blurRad="50800" w14:dist="38100" w14:dir="0" w14:sx="100000" w14:sy="100000" w14:kx="0" w14:ky="0" w14:algn="l">
        <w14:srgbClr w14:val="000000">
          <w14:alpha w14:val="60000"/>
        </w14:srgbClr>
      </w14:shadow>
    </w:rPr>
  </w:style>
  <w:style w:type="character" w:styleId="FollowedHyperlink">
    <w:name w:val="FollowedHyperlink"/>
    <w:basedOn w:val="DefaultParagraphFont"/>
    <w:uiPriority w:val="99"/>
    <w:semiHidden/>
    <w:unhideWhenUsed/>
    <w:rsid w:val="009E792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2B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B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B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B7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7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B7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B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B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B7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2B7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2B7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B7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B7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B7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C2B77"/>
    <w:rPr>
      <w:b/>
      <w:bCs/>
    </w:rPr>
  </w:style>
  <w:style w:type="character" w:styleId="Emphasis">
    <w:name w:val="Emphasis"/>
    <w:basedOn w:val="DefaultParagraphFont"/>
    <w:uiPriority w:val="20"/>
    <w:qFormat/>
    <w:rsid w:val="00FC2B77"/>
    <w:rPr>
      <w:i/>
      <w:iCs/>
      <w:color w:val="000000" w:themeColor="text1"/>
    </w:rPr>
  </w:style>
  <w:style w:type="paragraph" w:styleId="NoSpacing">
    <w:name w:val="No Spacing"/>
    <w:uiPriority w:val="1"/>
    <w:qFormat/>
    <w:rsid w:val="00FC2B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2B7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2B7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B7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B7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2B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2B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C2B7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C2B7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C2B7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2B77"/>
    <w:pPr>
      <w:outlineLvl w:val="9"/>
    </w:pPr>
  </w:style>
  <w:style w:type="paragraph" w:styleId="ListParagraph">
    <w:name w:val="List Paragraph"/>
    <w:basedOn w:val="Normal"/>
    <w:uiPriority w:val="34"/>
    <w:qFormat/>
    <w:rsid w:val="007C7F37"/>
    <w:pPr>
      <w:ind w:left="720"/>
      <w:contextualSpacing/>
    </w:pPr>
  </w:style>
  <w:style w:type="table" w:styleId="TableGrid">
    <w:name w:val="Table Grid"/>
    <w:basedOn w:val="TableNormal"/>
    <w:uiPriority w:val="39"/>
    <w:rsid w:val="00AC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0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TSRC-PROD-021325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45C5B-B022-495A-A35C-73D210E2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717</Words>
  <Characters>3444</Characters>
  <Application>Microsoft Office Word</Application>
  <DocSecurity>0</DocSecurity>
  <Lines>122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Hooks, Nathanael</dc:creator>
  <cp:keywords/>
  <dc:description/>
  <cp:lastModifiedBy>Pietralczyk, Rene</cp:lastModifiedBy>
  <cp:revision>6</cp:revision>
  <dcterms:created xsi:type="dcterms:W3CDTF">2019-12-23T18:24:00Z</dcterms:created>
  <dcterms:modified xsi:type="dcterms:W3CDTF">2020-10-13T14:00:00Z</dcterms:modified>
</cp:coreProperties>
</file>