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1B3D" w14:textId="1718053D" w:rsidR="00255C6B" w:rsidRDefault="007306E4" w:rsidP="004603FC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5"/>
      <w:bookmarkStart w:id="2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MED D </w:t>
      </w:r>
      <w:r w:rsidR="00DD69A8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proofErr w:type="spellStart"/>
      <w:r>
        <w:rPr>
          <w:rFonts w:ascii="Verdana" w:hAnsi="Verdana"/>
          <w:color w:val="000000"/>
          <w:sz w:val="36"/>
          <w:szCs w:val="36"/>
        </w:rPr>
        <w:t>B</w:t>
      </w:r>
      <w:r w:rsidR="00A46C4B">
        <w:rPr>
          <w:rFonts w:ascii="Verdana" w:hAnsi="Verdana"/>
          <w:color w:val="000000"/>
          <w:sz w:val="36"/>
          <w:szCs w:val="36"/>
        </w:rPr>
        <w:t>s</w:t>
      </w:r>
      <w:r>
        <w:rPr>
          <w:rFonts w:ascii="Verdana" w:hAnsi="Verdana"/>
          <w:color w:val="000000"/>
          <w:sz w:val="36"/>
          <w:szCs w:val="36"/>
        </w:rPr>
        <w:t>wift</w:t>
      </w:r>
      <w:proofErr w:type="spellEnd"/>
      <w:r w:rsidR="00A46C4B">
        <w:rPr>
          <w:rFonts w:ascii="Verdana" w:hAnsi="Verdana"/>
          <w:color w:val="000000"/>
          <w:sz w:val="36"/>
          <w:szCs w:val="36"/>
        </w:rPr>
        <w:t>/</w:t>
      </w:r>
      <w:r w:rsidR="00AA482B">
        <w:rPr>
          <w:rFonts w:ascii="Verdana" w:hAnsi="Verdana"/>
          <w:color w:val="000000"/>
          <w:sz w:val="36"/>
          <w:szCs w:val="36"/>
        </w:rPr>
        <w:t>Benefits Administrator</w:t>
      </w:r>
    </w:p>
    <w:bookmarkEnd w:id="1"/>
    <w:p w14:paraId="3B8A6002" w14:textId="77777777" w:rsidR="00DD69A8" w:rsidRPr="00DD69A8" w:rsidRDefault="00DD69A8" w:rsidP="00DD69A8">
      <w:pPr>
        <w:pStyle w:val="Heading4"/>
      </w:pPr>
    </w:p>
    <w:bookmarkEnd w:id="2"/>
    <w:p w14:paraId="42620A0F" w14:textId="77777777" w:rsidR="00300622" w:rsidRDefault="00B13B31" w:rsidP="004603FC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23167648" w:history="1">
        <w:r w:rsidR="00300622" w:rsidRPr="001E2B81">
          <w:rPr>
            <w:rStyle w:val="Hyperlink"/>
            <w:rFonts w:ascii="Verdana" w:hAnsi="Verdana"/>
            <w:noProof/>
          </w:rPr>
          <w:t>Overview</w:t>
        </w:r>
      </w:hyperlink>
    </w:p>
    <w:p w14:paraId="4628A8B5" w14:textId="77777777" w:rsidR="00300622" w:rsidRDefault="00D75E59" w:rsidP="004603FC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167649" w:history="1">
        <w:r w:rsidR="00300622" w:rsidRPr="001E2B81">
          <w:rPr>
            <w:rStyle w:val="Hyperlink"/>
            <w:rFonts w:ascii="Verdana" w:hAnsi="Verdana"/>
            <w:noProof/>
          </w:rPr>
          <w:t>Process</w:t>
        </w:r>
      </w:hyperlink>
    </w:p>
    <w:p w14:paraId="20DCF7A1" w14:textId="77777777" w:rsidR="00300622" w:rsidRDefault="00D75E59" w:rsidP="004603FC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167650" w:history="1">
        <w:r w:rsidR="00300622" w:rsidRPr="001E2B81">
          <w:rPr>
            <w:rStyle w:val="Hyperlink"/>
            <w:rFonts w:ascii="Verdana" w:hAnsi="Verdana"/>
            <w:noProof/>
          </w:rPr>
          <w:t>BSwift Clients</w:t>
        </w:r>
      </w:hyperlink>
    </w:p>
    <w:p w14:paraId="5814A717" w14:textId="40865B66" w:rsidR="00300622" w:rsidRDefault="00D75E59" w:rsidP="004603FC">
      <w:pPr>
        <w:pStyle w:val="TOC2"/>
        <w:tabs>
          <w:tab w:val="right" w:leader="dot" w:pos="12950"/>
        </w:tabs>
        <w:ind w:left="0"/>
        <w:rPr>
          <w:rStyle w:val="Hyperlink"/>
          <w:rFonts w:ascii="Verdana" w:hAnsi="Verdana"/>
          <w:noProof/>
        </w:rPr>
      </w:pPr>
      <w:hyperlink w:anchor="_Toc23167651" w:history="1">
        <w:r w:rsidR="00300622" w:rsidRPr="001E2B81">
          <w:rPr>
            <w:rStyle w:val="Hyperlink"/>
            <w:rFonts w:ascii="Verdana" w:hAnsi="Verdana"/>
            <w:noProof/>
          </w:rPr>
          <w:t>Related Documents</w:t>
        </w:r>
      </w:hyperlink>
    </w:p>
    <w:p w14:paraId="7D6D1CD6" w14:textId="77777777" w:rsidR="004603FC" w:rsidRPr="004603FC" w:rsidRDefault="004603FC" w:rsidP="004603FC">
      <w:pPr>
        <w:rPr>
          <w:rFonts w:eastAsiaTheme="minorEastAsia"/>
        </w:rPr>
      </w:pPr>
    </w:p>
    <w:p w14:paraId="11A96355" w14:textId="6A8F26BE" w:rsidR="008B69C1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p w14:paraId="10CE347F" w14:textId="77777777" w:rsidR="00DD69A8" w:rsidRPr="00DD69A8" w:rsidRDefault="00DD69A8" w:rsidP="00DD69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03A918C0" w14:textId="77777777" w:rsidTr="00D76C66">
        <w:tc>
          <w:tcPr>
            <w:tcW w:w="5000" w:type="pct"/>
            <w:shd w:val="clear" w:color="auto" w:fill="C0C0C0"/>
          </w:tcPr>
          <w:p w14:paraId="2A546B67" w14:textId="77777777" w:rsidR="005A64DA" w:rsidRPr="005D7976" w:rsidRDefault="005A64DA" w:rsidP="0064267B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23167648"/>
            <w:bookmarkEnd w:id="3"/>
            <w:r w:rsidRPr="005D7976">
              <w:rPr>
                <w:rFonts w:ascii="Verdana" w:hAnsi="Verdana"/>
                <w:i w:val="0"/>
                <w:iCs w:val="0"/>
              </w:rPr>
              <w:t>Overview</w:t>
            </w:r>
            <w:bookmarkEnd w:id="4"/>
            <w:r w:rsidRPr="005D797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C113FC9" w14:textId="60E98EF3" w:rsidR="00DE641C" w:rsidRDefault="00F80BC2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Some Aetna EGWP </w:t>
      </w:r>
      <w:r w:rsidR="00A46C4B">
        <w:rPr>
          <w:rFonts w:ascii="Verdana" w:hAnsi="Verdana"/>
        </w:rPr>
        <w:t xml:space="preserve">and SilverScript EGWP </w:t>
      </w:r>
      <w:r w:rsidR="004D35CC">
        <w:rPr>
          <w:rFonts w:ascii="Verdana" w:hAnsi="Verdana"/>
        </w:rPr>
        <w:t>clients</w:t>
      </w:r>
      <w:r>
        <w:rPr>
          <w:rFonts w:ascii="Verdana" w:hAnsi="Verdana"/>
        </w:rPr>
        <w:t xml:space="preserve"> will utilize a separate team to assist with answering Enrollment, Eligibility, </w:t>
      </w:r>
      <w:r w:rsidR="003146E3">
        <w:rPr>
          <w:rFonts w:ascii="Verdana" w:hAnsi="Verdana"/>
        </w:rPr>
        <w:t>and</w:t>
      </w:r>
      <w:r w:rsidR="00160612">
        <w:rPr>
          <w:rFonts w:ascii="Verdana" w:hAnsi="Verdana"/>
        </w:rPr>
        <w:t xml:space="preserve"> sometimes </w:t>
      </w:r>
      <w:r w:rsidR="003146E3">
        <w:rPr>
          <w:rFonts w:ascii="Verdana" w:hAnsi="Verdana"/>
        </w:rPr>
        <w:t xml:space="preserve">Premium Billing questions. </w:t>
      </w:r>
      <w:r>
        <w:rPr>
          <w:rFonts w:ascii="Verdana" w:hAnsi="Verdana"/>
        </w:rPr>
        <w:t xml:space="preserve">These clients will be referenced as </w:t>
      </w:r>
      <w:proofErr w:type="spellStart"/>
      <w:r>
        <w:rPr>
          <w:rFonts w:ascii="Verdana" w:hAnsi="Verdana"/>
        </w:rPr>
        <w:t>BSwift</w:t>
      </w:r>
      <w:proofErr w:type="spellEnd"/>
      <w:r>
        <w:rPr>
          <w:rFonts w:ascii="Verdana" w:hAnsi="Verdana"/>
        </w:rPr>
        <w:t xml:space="preserve"> plans</w:t>
      </w:r>
      <w:r w:rsidR="00247B20">
        <w:rPr>
          <w:rFonts w:ascii="Verdana" w:hAnsi="Verdana"/>
        </w:rPr>
        <w:t>.</w:t>
      </w:r>
      <w:r w:rsidR="004D35CC">
        <w:rPr>
          <w:rFonts w:ascii="Verdana" w:hAnsi="Verdana"/>
        </w:rPr>
        <w:t xml:space="preserve"> </w:t>
      </w:r>
    </w:p>
    <w:p w14:paraId="0AC7FC3C" w14:textId="77777777" w:rsidR="00DE641C" w:rsidRDefault="00DE641C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4C5C8BC6" w14:textId="1B04F8CB" w:rsidR="00A46C4B" w:rsidRDefault="004D35CC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The majority of </w:t>
      </w:r>
      <w:proofErr w:type="spellStart"/>
      <w:r w:rsidR="00922A78">
        <w:rPr>
          <w:rFonts w:ascii="Verdana" w:hAnsi="Verdana"/>
        </w:rPr>
        <w:t>BSwift</w:t>
      </w:r>
      <w:proofErr w:type="spellEnd"/>
      <w:r w:rsidR="00922A78">
        <w:rPr>
          <w:rFonts w:ascii="Verdana" w:hAnsi="Verdana"/>
        </w:rPr>
        <w:t xml:space="preserve"> clients </w:t>
      </w:r>
      <w:r w:rsidR="00247B20">
        <w:rPr>
          <w:rFonts w:ascii="Verdana" w:hAnsi="Verdana"/>
        </w:rPr>
        <w:t>will be identifiable by the Client Code (aka Carrier Code) – X93</w:t>
      </w:r>
      <w:r w:rsidR="00922A78">
        <w:rPr>
          <w:rFonts w:ascii="Verdana" w:hAnsi="Verdana"/>
        </w:rPr>
        <w:t>59</w:t>
      </w:r>
      <w:r w:rsidR="00247B20">
        <w:rPr>
          <w:rFonts w:ascii="Verdana" w:hAnsi="Verdana"/>
        </w:rPr>
        <w:t xml:space="preserve"> Aetna </w:t>
      </w:r>
      <w:proofErr w:type="spellStart"/>
      <w:r w:rsidR="00247B20">
        <w:rPr>
          <w:rFonts w:ascii="Verdana" w:hAnsi="Verdana"/>
        </w:rPr>
        <w:t>BSwift</w:t>
      </w:r>
      <w:proofErr w:type="spellEnd"/>
      <w:r w:rsidR="00922A78">
        <w:rPr>
          <w:rFonts w:ascii="Verdana" w:hAnsi="Verdana"/>
        </w:rPr>
        <w:t xml:space="preserve"> BILLING</w:t>
      </w:r>
      <w:r w:rsidR="003146E3">
        <w:rPr>
          <w:rFonts w:ascii="Verdana" w:hAnsi="Verdana"/>
        </w:rPr>
        <w:t xml:space="preserve">. </w:t>
      </w:r>
      <w:r w:rsidR="002B530E">
        <w:rPr>
          <w:rFonts w:ascii="Verdana" w:hAnsi="Verdana"/>
        </w:rPr>
        <w:t xml:space="preserve">Other </w:t>
      </w:r>
      <w:proofErr w:type="spellStart"/>
      <w:r w:rsidR="002B530E">
        <w:rPr>
          <w:rFonts w:ascii="Verdana" w:hAnsi="Verdana"/>
        </w:rPr>
        <w:t>BSwift</w:t>
      </w:r>
      <w:proofErr w:type="spellEnd"/>
      <w:r w:rsidR="002B530E">
        <w:rPr>
          <w:rFonts w:ascii="Verdana" w:hAnsi="Verdana"/>
        </w:rPr>
        <w:t xml:space="preserve"> </w:t>
      </w:r>
      <w:r w:rsidR="00A316C7">
        <w:rPr>
          <w:rFonts w:ascii="Verdana" w:hAnsi="Verdana"/>
        </w:rPr>
        <w:t>c</w:t>
      </w:r>
      <w:r w:rsidR="00247B20">
        <w:rPr>
          <w:rFonts w:ascii="Verdana" w:hAnsi="Verdana"/>
        </w:rPr>
        <w:t xml:space="preserve">lients </w:t>
      </w:r>
      <w:r w:rsidR="002B530E">
        <w:rPr>
          <w:rFonts w:ascii="Verdana" w:hAnsi="Verdana"/>
        </w:rPr>
        <w:t>will have a unique carrier code</w:t>
      </w:r>
      <w:r w:rsidR="00946CB9">
        <w:rPr>
          <w:rFonts w:ascii="Verdana" w:hAnsi="Verdana"/>
        </w:rPr>
        <w:t xml:space="preserve">, </w:t>
      </w:r>
      <w:r w:rsidR="00160612">
        <w:rPr>
          <w:rFonts w:ascii="Verdana" w:hAnsi="Verdana"/>
        </w:rPr>
        <w:t>but a</w:t>
      </w:r>
      <w:r>
        <w:rPr>
          <w:rFonts w:ascii="Verdana" w:hAnsi="Verdana"/>
        </w:rPr>
        <w:t xml:space="preserve">ll </w:t>
      </w:r>
      <w:proofErr w:type="spellStart"/>
      <w:r>
        <w:rPr>
          <w:rFonts w:ascii="Verdana" w:hAnsi="Verdana"/>
        </w:rPr>
        <w:t>B</w:t>
      </w:r>
      <w:r w:rsidR="00946CB9">
        <w:rPr>
          <w:rFonts w:ascii="Verdana" w:hAnsi="Verdana"/>
        </w:rPr>
        <w:t>S</w:t>
      </w:r>
      <w:r>
        <w:rPr>
          <w:rFonts w:ascii="Verdana" w:hAnsi="Verdana"/>
        </w:rPr>
        <w:t>wift</w:t>
      </w:r>
      <w:proofErr w:type="spellEnd"/>
      <w:r>
        <w:rPr>
          <w:rFonts w:ascii="Verdana" w:hAnsi="Verdana"/>
        </w:rPr>
        <w:t xml:space="preserve"> clients will be identifiable by High Priority </w:t>
      </w:r>
      <w:r w:rsidR="00946CB9">
        <w:rPr>
          <w:rFonts w:ascii="Verdana" w:hAnsi="Verdana"/>
        </w:rPr>
        <w:t>C</w:t>
      </w:r>
      <w:r>
        <w:rPr>
          <w:rFonts w:ascii="Verdana" w:hAnsi="Verdana"/>
        </w:rPr>
        <w:t xml:space="preserve">omments that will </w:t>
      </w:r>
      <w:r w:rsidR="00946CB9">
        <w:rPr>
          <w:rFonts w:ascii="Verdana" w:hAnsi="Verdana"/>
        </w:rPr>
        <w:t>indicate</w:t>
      </w:r>
      <w:r>
        <w:rPr>
          <w:rFonts w:ascii="Verdana" w:hAnsi="Verdana"/>
        </w:rPr>
        <w:t xml:space="preserve"> the types of inquiries that must be transferred to the </w:t>
      </w:r>
      <w:r w:rsidR="00AA482B">
        <w:rPr>
          <w:rFonts w:ascii="Verdana" w:hAnsi="Verdana"/>
        </w:rPr>
        <w:t>Benefits Administrator</w:t>
      </w:r>
      <w:r>
        <w:rPr>
          <w:rFonts w:ascii="Verdana" w:hAnsi="Verdana"/>
        </w:rPr>
        <w:t xml:space="preserve"> team for further assistance.</w:t>
      </w:r>
      <w:r w:rsidR="00160612">
        <w:rPr>
          <w:rFonts w:ascii="Verdana" w:hAnsi="Verdana"/>
        </w:rPr>
        <w:t xml:space="preserve"> </w:t>
      </w:r>
    </w:p>
    <w:p w14:paraId="1DE8208E" w14:textId="77777777" w:rsidR="00A316C7" w:rsidRDefault="00A316C7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7938BD4A" w14:textId="68A679D5" w:rsidR="00A46C4B" w:rsidRDefault="00A316C7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The following are n</w:t>
      </w:r>
      <w:r w:rsidR="00A46C4B">
        <w:rPr>
          <w:rFonts w:ascii="Verdana" w:hAnsi="Verdana"/>
        </w:rPr>
        <w:t>ew for plan year 2024:</w:t>
      </w:r>
    </w:p>
    <w:p w14:paraId="77FDEFFB" w14:textId="44EA386D" w:rsidR="00A46C4B" w:rsidRDefault="00A46C4B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</w:p>
    <w:p w14:paraId="5C6ACD7D" w14:textId="78DC2BA6" w:rsidR="00A46C4B" w:rsidRDefault="0083553C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SSI - </w:t>
      </w:r>
      <w:r w:rsidR="00921235">
        <w:rPr>
          <w:rFonts w:ascii="Verdana" w:hAnsi="Verdana"/>
        </w:rPr>
        <w:t xml:space="preserve">Mail Handler’s </w:t>
      </w:r>
      <w:r>
        <w:rPr>
          <w:rFonts w:ascii="Verdana" w:hAnsi="Verdana"/>
        </w:rPr>
        <w:t>Benefits Plan (MHBP X</w:t>
      </w:r>
      <w:proofErr w:type="gramStart"/>
      <w:r>
        <w:rPr>
          <w:rFonts w:ascii="Verdana" w:hAnsi="Verdana"/>
        </w:rPr>
        <w:t>9596)</w:t>
      </w:r>
      <w:r w:rsidR="00160612">
        <w:rPr>
          <w:rFonts w:ascii="Verdana" w:hAnsi="Verdana"/>
        </w:rPr>
        <w:t>*</w:t>
      </w:r>
      <w:proofErr w:type="gramEnd"/>
    </w:p>
    <w:p w14:paraId="67438498" w14:textId="58444AF7" w:rsidR="00921235" w:rsidRDefault="0083553C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SSI - National </w:t>
      </w:r>
      <w:r w:rsidR="00921235">
        <w:rPr>
          <w:rFonts w:ascii="Verdana" w:hAnsi="Verdana"/>
        </w:rPr>
        <w:t>Rural Letter Carriers</w:t>
      </w:r>
      <w:r>
        <w:rPr>
          <w:rFonts w:ascii="Verdana" w:hAnsi="Verdana"/>
        </w:rPr>
        <w:t xml:space="preserve"> Association (NRLCA</w:t>
      </w:r>
      <w:r w:rsidR="00921235">
        <w:rPr>
          <w:rFonts w:ascii="Verdana" w:hAnsi="Verdana"/>
        </w:rPr>
        <w:t xml:space="preserve"> </w:t>
      </w:r>
      <w:r>
        <w:rPr>
          <w:rFonts w:ascii="Verdana" w:hAnsi="Verdana"/>
        </w:rPr>
        <w:t>X</w:t>
      </w:r>
      <w:proofErr w:type="gramStart"/>
      <w:r>
        <w:rPr>
          <w:rFonts w:ascii="Verdana" w:hAnsi="Verdana"/>
        </w:rPr>
        <w:t>9597)</w:t>
      </w:r>
      <w:r w:rsidR="00160612">
        <w:rPr>
          <w:rFonts w:ascii="Verdana" w:hAnsi="Verdana"/>
        </w:rPr>
        <w:t>*</w:t>
      </w:r>
      <w:proofErr w:type="gramEnd"/>
    </w:p>
    <w:p w14:paraId="11FB1C4C" w14:textId="1AB01130" w:rsidR="0083553C" w:rsidRDefault="0083553C" w:rsidP="00DD69A8">
      <w:pPr>
        <w:pStyle w:val="BodyTextIndent2"/>
        <w:numPr>
          <w:ilvl w:val="0"/>
          <w:numId w:val="7"/>
        </w:numPr>
        <w:spacing w:after="0" w:line="240" w:lineRule="auto"/>
        <w:rPr>
          <w:rFonts w:ascii="Verdana" w:hAnsi="Verdana"/>
        </w:rPr>
      </w:pPr>
      <w:bookmarkStart w:id="5" w:name="OLE_LINK1"/>
      <w:r>
        <w:rPr>
          <w:rFonts w:ascii="Verdana" w:hAnsi="Verdana"/>
        </w:rPr>
        <w:t>A</w:t>
      </w:r>
      <w:r w:rsidR="00100D6B">
        <w:rPr>
          <w:rFonts w:ascii="Verdana" w:hAnsi="Verdana"/>
        </w:rPr>
        <w:t>ET</w:t>
      </w:r>
      <w:r w:rsidR="00A316C7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="00A316C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SSI Federal Employees Health Benefits Plan </w:t>
      </w:r>
      <w:bookmarkEnd w:id="5"/>
      <w:r>
        <w:rPr>
          <w:rFonts w:ascii="Verdana" w:hAnsi="Verdana"/>
        </w:rPr>
        <w:t>(FEHBP X</w:t>
      </w:r>
      <w:proofErr w:type="gramStart"/>
      <w:r>
        <w:rPr>
          <w:rFonts w:ascii="Verdana" w:hAnsi="Verdana"/>
        </w:rPr>
        <w:t>9368)</w:t>
      </w:r>
      <w:r w:rsidR="00160612">
        <w:rPr>
          <w:rFonts w:ascii="Verdana" w:hAnsi="Verdana"/>
        </w:rPr>
        <w:t>*</w:t>
      </w:r>
      <w:proofErr w:type="gramEnd"/>
    </w:p>
    <w:p w14:paraId="242E22C8" w14:textId="74D4E370" w:rsidR="00160612" w:rsidRDefault="00160612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6263720" w14:textId="69133998" w:rsidR="00160612" w:rsidRDefault="00A316C7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DD69A8"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 </w:t>
      </w:r>
      <w:r w:rsidR="00160612">
        <w:rPr>
          <w:rFonts w:ascii="Verdana" w:hAnsi="Verdana"/>
        </w:rPr>
        <w:t>Only Enrollment and Eligibility calls should be transferred to these clients. Refer to the CIF for handling of Premium Billing inquiries.</w:t>
      </w:r>
    </w:p>
    <w:p w14:paraId="3F913185" w14:textId="77777777" w:rsidR="00DE641C" w:rsidRDefault="00DE641C" w:rsidP="00DE641C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B9FBAEB" w14:textId="2D28A57C" w:rsidR="005A64DA" w:rsidRPr="005D7976" w:rsidRDefault="00D75E59" w:rsidP="00DE641C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  <w:hyperlink w:anchor="_top" w:history="1">
        <w:r w:rsidR="008B69C1" w:rsidRPr="005D7976">
          <w:rPr>
            <w:rStyle w:val="Hyperlink"/>
            <w:rFonts w:ascii="Verdana" w:hAnsi="Verdana"/>
          </w:rPr>
          <w:t>Top of the Document</w:t>
        </w:r>
      </w:hyperlink>
      <w:bookmarkStart w:id="6" w:name="_Rationale"/>
      <w:bookmarkStart w:id="7" w:name="_Definitions"/>
      <w:bookmarkStart w:id="8" w:name="_Definitions/Abbreviations"/>
      <w:bookmarkEnd w:id="6"/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0EB2987A" w14:textId="77777777" w:rsidTr="0064267B">
        <w:tc>
          <w:tcPr>
            <w:tcW w:w="5000" w:type="pct"/>
            <w:shd w:val="clear" w:color="auto" w:fill="C0C0C0"/>
          </w:tcPr>
          <w:p w14:paraId="29D29533" w14:textId="77777777" w:rsidR="005A64DA" w:rsidRPr="005D7976" w:rsidRDefault="00853F1B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Process_for_Handling"/>
            <w:bookmarkStart w:id="10" w:name="_Toc23167649"/>
            <w:bookmarkStart w:id="11" w:name="OLE_LINK6"/>
            <w:bookmarkEnd w:id="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  <w:r w:rsidR="00F80BC2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182009A" w14:textId="77777777" w:rsidR="004603FC" w:rsidRDefault="004603FC" w:rsidP="005A64DA">
      <w:pPr>
        <w:rPr>
          <w:rFonts w:ascii="Verdana" w:hAnsi="Verdana"/>
        </w:rPr>
      </w:pPr>
    </w:p>
    <w:p w14:paraId="5B9005BC" w14:textId="507783CE" w:rsidR="00B13B31" w:rsidRPr="005D7976" w:rsidRDefault="00176400" w:rsidP="005A64DA">
      <w:pPr>
        <w:rPr>
          <w:rFonts w:ascii="Verdana" w:hAnsi="Verdana"/>
        </w:rPr>
      </w:pPr>
      <w:r w:rsidRPr="005D7976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974"/>
        <w:gridCol w:w="9852"/>
      </w:tblGrid>
      <w:tr w:rsidR="004A7AD3" w:rsidRPr="005D7976" w14:paraId="3F2CE587" w14:textId="77777777" w:rsidTr="00D75E59">
        <w:tc>
          <w:tcPr>
            <w:tcW w:w="434" w:type="pct"/>
            <w:shd w:val="clear" w:color="auto" w:fill="E6E6E6"/>
          </w:tcPr>
          <w:p w14:paraId="3F38F5DB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gridSpan w:val="2"/>
            <w:shd w:val="clear" w:color="auto" w:fill="E6E6E6"/>
          </w:tcPr>
          <w:p w14:paraId="073CB65E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4A7AD3" w:rsidRPr="005D7976" w14:paraId="5D60BC1E" w14:textId="77777777" w:rsidTr="00D75E59">
        <w:tc>
          <w:tcPr>
            <w:tcW w:w="434" w:type="pct"/>
            <w:vMerge w:val="restart"/>
          </w:tcPr>
          <w:p w14:paraId="386E3A6B" w14:textId="086E24F9" w:rsidR="0021112A" w:rsidRPr="005D7976" w:rsidRDefault="00853F1B" w:rsidP="002D11CF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  <w:gridSpan w:val="2"/>
            <w:tcBorders>
              <w:bottom w:val="single" w:sz="4" w:space="0" w:color="auto"/>
            </w:tcBorders>
          </w:tcPr>
          <w:p w14:paraId="2E445532" w14:textId="46B7EF03" w:rsidR="00C01FF9" w:rsidRDefault="00E32580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853F1B">
              <w:rPr>
                <w:rFonts w:ascii="Verdana" w:hAnsi="Verdana"/>
              </w:rPr>
              <w:t xml:space="preserve">etermine if </w:t>
            </w:r>
            <w:r w:rsidR="00CD6DAF">
              <w:rPr>
                <w:rFonts w:ascii="Verdana" w:hAnsi="Verdana"/>
              </w:rPr>
              <w:t xml:space="preserve">the caller is </w:t>
            </w:r>
            <w:r w:rsidR="00853F1B">
              <w:rPr>
                <w:rFonts w:ascii="Verdana" w:hAnsi="Verdana"/>
              </w:rPr>
              <w:t xml:space="preserve">a </w:t>
            </w:r>
            <w:proofErr w:type="spellStart"/>
            <w:r w:rsidR="00853F1B">
              <w:rPr>
                <w:rFonts w:ascii="Verdana" w:hAnsi="Verdana"/>
              </w:rPr>
              <w:t>BSwift</w:t>
            </w:r>
            <w:proofErr w:type="spellEnd"/>
            <w:r w:rsidR="00922A78">
              <w:rPr>
                <w:rFonts w:ascii="Verdana" w:hAnsi="Verdana"/>
              </w:rPr>
              <w:t xml:space="preserve"> Billing</w:t>
            </w:r>
            <w:r w:rsidR="00300622">
              <w:rPr>
                <w:rFonts w:ascii="Verdana" w:hAnsi="Verdana"/>
              </w:rPr>
              <w:t xml:space="preserve"> </w:t>
            </w:r>
            <w:r w:rsidR="00853F1B">
              <w:rPr>
                <w:rFonts w:ascii="Verdana" w:hAnsi="Verdana"/>
              </w:rPr>
              <w:t>client</w:t>
            </w:r>
            <w:r w:rsidR="00D2756F">
              <w:rPr>
                <w:rFonts w:ascii="Verdana" w:hAnsi="Verdana"/>
              </w:rPr>
              <w:t xml:space="preserve"> by reviewing </w:t>
            </w:r>
            <w:r w:rsidR="00B5423E">
              <w:rPr>
                <w:rFonts w:ascii="Verdana" w:hAnsi="Verdana"/>
              </w:rPr>
              <w:t xml:space="preserve">the </w:t>
            </w:r>
            <w:r w:rsidR="00946CB9">
              <w:rPr>
                <w:rFonts w:ascii="Verdana" w:hAnsi="Verdana"/>
              </w:rPr>
              <w:t>H</w:t>
            </w:r>
            <w:r w:rsidR="00B5423E">
              <w:rPr>
                <w:rFonts w:ascii="Verdana" w:hAnsi="Verdana"/>
              </w:rPr>
              <w:t xml:space="preserve">igh </w:t>
            </w:r>
            <w:r w:rsidR="00946CB9">
              <w:rPr>
                <w:rFonts w:ascii="Verdana" w:hAnsi="Verdana"/>
              </w:rPr>
              <w:t>P</w:t>
            </w:r>
            <w:r w:rsidR="00B5423E">
              <w:rPr>
                <w:rFonts w:ascii="Verdana" w:hAnsi="Verdana"/>
              </w:rPr>
              <w:t xml:space="preserve">riority </w:t>
            </w:r>
            <w:r w:rsidR="00946CB9">
              <w:rPr>
                <w:rFonts w:ascii="Verdana" w:hAnsi="Verdana"/>
              </w:rPr>
              <w:t>C</w:t>
            </w:r>
            <w:r w:rsidR="00B5423E">
              <w:rPr>
                <w:rFonts w:ascii="Verdana" w:hAnsi="Verdana"/>
              </w:rPr>
              <w:t xml:space="preserve">omments </w:t>
            </w:r>
            <w:r w:rsidR="00A316C7">
              <w:rPr>
                <w:rFonts w:ascii="Verdana" w:hAnsi="Verdana"/>
              </w:rPr>
              <w:t>in</w:t>
            </w:r>
            <w:r w:rsidR="00C01FF9">
              <w:rPr>
                <w:rFonts w:ascii="Verdana" w:hAnsi="Verdana"/>
              </w:rPr>
              <w:t xml:space="preserve"> PeopleSafe:</w:t>
            </w:r>
          </w:p>
          <w:p w14:paraId="0D78F11A" w14:textId="2E82B924" w:rsidR="00A316C7" w:rsidRDefault="004D35CC" w:rsidP="00C01FF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High Priority Comments </w:t>
            </w:r>
            <w:r w:rsidR="00713205">
              <w:rPr>
                <w:rFonts w:ascii="Verdana" w:hAnsi="Verdana"/>
              </w:rPr>
              <w:t xml:space="preserve">will indicate </w:t>
            </w:r>
            <w:r w:rsidR="00B5423E">
              <w:rPr>
                <w:rFonts w:ascii="Verdana" w:hAnsi="Verdana"/>
              </w:rPr>
              <w:t xml:space="preserve">the type of calls that should be transferred and the telephone number to transfer the caller to.  The call types can be any of these call types: </w:t>
            </w:r>
            <w:r>
              <w:rPr>
                <w:rFonts w:ascii="Verdana" w:hAnsi="Verdana"/>
              </w:rPr>
              <w:t>Eligibility, Enrollment</w:t>
            </w:r>
            <w:r w:rsidR="00A316C7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and/or Premium Billing call</w:t>
            </w:r>
            <w:r w:rsidR="004A7AD3">
              <w:rPr>
                <w:rFonts w:ascii="Verdana" w:hAnsi="Verdana"/>
              </w:rPr>
              <w:t>s</w:t>
            </w:r>
            <w:r w:rsidR="00B5423E">
              <w:rPr>
                <w:rFonts w:ascii="Verdana" w:hAnsi="Verdana"/>
              </w:rPr>
              <w:t xml:space="preserve">.  </w:t>
            </w:r>
          </w:p>
          <w:p w14:paraId="7B07FB95" w14:textId="68055F29" w:rsidR="004D35CC" w:rsidRDefault="00A316C7" w:rsidP="00DD69A8">
            <w:pPr>
              <w:pStyle w:val="ListParagraph"/>
              <w:ind w:left="1530"/>
              <w:rPr>
                <w:rFonts w:ascii="Verdana" w:hAnsi="Verdana"/>
              </w:rPr>
            </w:pPr>
            <w:r w:rsidRPr="00DD69A8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4A7AD3">
              <w:rPr>
                <w:rFonts w:ascii="Verdana" w:hAnsi="Verdana"/>
              </w:rPr>
              <w:t>Premium Billing calls do not apply to all clients</w:t>
            </w:r>
          </w:p>
          <w:p w14:paraId="4F9739FE" w14:textId="61802C81" w:rsidR="00D2756F" w:rsidRPr="00D2756F" w:rsidRDefault="00D2756F" w:rsidP="00D2756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>
              <w:rPr>
                <w:rStyle w:val="Hyperlink"/>
                <w:rFonts w:ascii="Verdana" w:hAnsi="Verdana"/>
                <w:color w:val="auto"/>
                <w:u w:val="none"/>
              </w:rPr>
              <w:t xml:space="preserve">For a complete list of clients, refer to </w:t>
            </w:r>
            <w:hyperlink w:anchor="_BSwift_Clients" w:history="1">
              <w:proofErr w:type="spellStart"/>
              <w:r w:rsidRPr="00853F1B">
                <w:rPr>
                  <w:rStyle w:val="Hyperlink"/>
                  <w:rFonts w:ascii="Verdana" w:hAnsi="Verdana"/>
                </w:rPr>
                <w:t>BSwift</w:t>
              </w:r>
              <w:proofErr w:type="spellEnd"/>
              <w:r w:rsidRPr="00853F1B">
                <w:rPr>
                  <w:rStyle w:val="Hyperlink"/>
                  <w:rFonts w:ascii="Verdana" w:hAnsi="Verdana"/>
                </w:rPr>
                <w:t xml:space="preserve"> Clients</w:t>
              </w:r>
            </w:hyperlink>
            <w:r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779892BF" w14:textId="77777777" w:rsidR="00853F1B" w:rsidRDefault="00853F1B" w:rsidP="0028215B">
            <w:pPr>
              <w:rPr>
                <w:rFonts w:ascii="Verdana" w:hAnsi="Verdana"/>
              </w:rPr>
            </w:pPr>
          </w:p>
          <w:p w14:paraId="3342A28C" w14:textId="6AD4416E" w:rsidR="00853F1B" w:rsidRDefault="00853F1B" w:rsidP="00D2756F">
            <w:pPr>
              <w:jc w:val="center"/>
              <w:rPr>
                <w:rFonts w:ascii="Verdana" w:hAnsi="Verdana"/>
              </w:rPr>
            </w:pPr>
          </w:p>
          <w:p w14:paraId="7EAE7A60" w14:textId="0783B6E6" w:rsidR="00E3761D" w:rsidRPr="005957A9" w:rsidRDefault="00946CB9" w:rsidP="005957A9">
            <w:pPr>
              <w:rPr>
                <w:rFonts w:ascii="Verdana" w:hAnsi="Verdana"/>
                <w:b/>
                <w:bCs/>
              </w:rPr>
            </w:pPr>
            <w:r w:rsidRPr="005957A9">
              <w:rPr>
                <w:rFonts w:ascii="Verdana" w:hAnsi="Verdana"/>
                <w:b/>
                <w:bCs/>
              </w:rPr>
              <w:t>Example</w:t>
            </w:r>
            <w:r w:rsidR="005957A9">
              <w:rPr>
                <w:rFonts w:ascii="Verdana" w:hAnsi="Verdana"/>
                <w:b/>
                <w:bCs/>
              </w:rPr>
              <w:t>:</w:t>
            </w:r>
          </w:p>
          <w:p w14:paraId="2C956F1B" w14:textId="44B551A8" w:rsidR="00A46C4B" w:rsidRDefault="0083553C" w:rsidP="00D2756F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B0A7644" wp14:editId="58A68686">
                  <wp:extent cx="5613400" cy="815589"/>
                  <wp:effectExtent l="19050" t="19050" r="2540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316" cy="8273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ECBB7" w14:textId="3E782278" w:rsidR="00A46C4B" w:rsidRDefault="00A46C4B" w:rsidP="00D2756F">
            <w:pPr>
              <w:jc w:val="center"/>
              <w:rPr>
                <w:rFonts w:ascii="Verdana" w:hAnsi="Verdana"/>
                <w:b/>
                <w:bCs/>
              </w:rPr>
            </w:pPr>
            <w:r w:rsidRPr="00DD69A8">
              <w:rPr>
                <w:rFonts w:ascii="Verdana" w:hAnsi="Verdana"/>
                <w:b/>
                <w:bCs/>
              </w:rPr>
              <w:t>High Priority Comments</w:t>
            </w:r>
          </w:p>
          <w:p w14:paraId="3BBCC7CA" w14:textId="6776C6B4" w:rsidR="00C01FF9" w:rsidRPr="00D2756F" w:rsidRDefault="00C01FF9" w:rsidP="005957A9">
            <w:pPr>
              <w:rPr>
                <w:rFonts w:ascii="Verdana" w:hAnsi="Verdana"/>
              </w:rPr>
            </w:pPr>
          </w:p>
          <w:p w14:paraId="5354201C" w14:textId="77777777" w:rsidR="00853F1B" w:rsidRPr="005D7976" w:rsidRDefault="00853F1B" w:rsidP="00DD69A8">
            <w:pPr>
              <w:jc w:val="center"/>
              <w:rPr>
                <w:rFonts w:ascii="Verdana" w:hAnsi="Verdana"/>
              </w:rPr>
            </w:pPr>
          </w:p>
        </w:tc>
      </w:tr>
      <w:tr w:rsidR="0083553C" w:rsidRPr="005D7976" w14:paraId="1C6AD27C" w14:textId="77777777" w:rsidTr="00D75E59">
        <w:trPr>
          <w:trHeight w:val="90"/>
        </w:trPr>
        <w:tc>
          <w:tcPr>
            <w:tcW w:w="434" w:type="pct"/>
            <w:vMerge/>
          </w:tcPr>
          <w:p w14:paraId="631DC4F4" w14:textId="516455C3" w:rsidR="00853F1B" w:rsidRPr="005D7976" w:rsidRDefault="00853F1B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  <w:shd w:val="clear" w:color="auto" w:fill="E6E6E6"/>
          </w:tcPr>
          <w:p w14:paraId="0819C0BA" w14:textId="77777777" w:rsidR="00853F1B" w:rsidRPr="00853F1B" w:rsidRDefault="00853F1B" w:rsidP="00853F1B">
            <w:pPr>
              <w:jc w:val="center"/>
              <w:rPr>
                <w:rFonts w:ascii="Verdana" w:hAnsi="Verdana"/>
                <w:b/>
              </w:rPr>
            </w:pPr>
            <w:r w:rsidRPr="00853F1B">
              <w:rPr>
                <w:rFonts w:ascii="Verdana" w:hAnsi="Verdana"/>
                <w:b/>
              </w:rPr>
              <w:t>If...</w:t>
            </w:r>
          </w:p>
        </w:tc>
        <w:tc>
          <w:tcPr>
            <w:tcW w:w="3804" w:type="pct"/>
            <w:shd w:val="clear" w:color="auto" w:fill="E6E6E6"/>
          </w:tcPr>
          <w:p w14:paraId="5F034B40" w14:textId="77777777" w:rsidR="00853F1B" w:rsidRPr="00853F1B" w:rsidRDefault="00853F1B" w:rsidP="00853F1B">
            <w:pPr>
              <w:jc w:val="center"/>
              <w:rPr>
                <w:rFonts w:ascii="Verdana" w:hAnsi="Verdana"/>
                <w:b/>
              </w:rPr>
            </w:pPr>
            <w:r w:rsidRPr="00853F1B">
              <w:rPr>
                <w:rFonts w:ascii="Verdana" w:hAnsi="Verdana"/>
                <w:b/>
              </w:rPr>
              <w:t>Then...</w:t>
            </w:r>
          </w:p>
        </w:tc>
      </w:tr>
      <w:tr w:rsidR="004A7AD3" w:rsidRPr="005D7976" w14:paraId="590978EB" w14:textId="77777777" w:rsidTr="00D75E59">
        <w:trPr>
          <w:trHeight w:val="90"/>
        </w:trPr>
        <w:tc>
          <w:tcPr>
            <w:tcW w:w="434" w:type="pct"/>
            <w:vMerge/>
          </w:tcPr>
          <w:p w14:paraId="491998AB" w14:textId="77777777" w:rsidR="00853F1B" w:rsidRPr="005D7976" w:rsidRDefault="00853F1B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</w:tcPr>
          <w:p w14:paraId="7602A5BE" w14:textId="0E0E83E5" w:rsidR="00853F1B" w:rsidRDefault="00B5423E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Hight Priority Comments indicate to transfer to </w:t>
            </w:r>
            <w:proofErr w:type="spellStart"/>
            <w:r w:rsidR="00853F1B">
              <w:rPr>
                <w:rFonts w:ascii="Verdana" w:hAnsi="Verdana"/>
              </w:rPr>
              <w:t>BSwift</w:t>
            </w:r>
            <w:proofErr w:type="spellEnd"/>
            <w:r>
              <w:rPr>
                <w:rFonts w:ascii="Verdana" w:hAnsi="Verdana"/>
              </w:rPr>
              <w:t>/Retiree Solutions Center</w:t>
            </w:r>
          </w:p>
        </w:tc>
        <w:tc>
          <w:tcPr>
            <w:tcW w:w="3804" w:type="pct"/>
          </w:tcPr>
          <w:p w14:paraId="266F3E92" w14:textId="77777777" w:rsidR="00853F1B" w:rsidRDefault="00853F1B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next step.</w:t>
            </w:r>
          </w:p>
          <w:p w14:paraId="5E9D711E" w14:textId="635DF43A" w:rsidR="004603FC" w:rsidRDefault="004603FC" w:rsidP="0028215B">
            <w:pPr>
              <w:rPr>
                <w:rFonts w:ascii="Verdana" w:hAnsi="Verdana"/>
              </w:rPr>
            </w:pPr>
          </w:p>
        </w:tc>
      </w:tr>
      <w:tr w:rsidR="004A7AD3" w:rsidRPr="005D7976" w14:paraId="07E6C777" w14:textId="77777777" w:rsidTr="00D75E59">
        <w:trPr>
          <w:trHeight w:val="90"/>
        </w:trPr>
        <w:tc>
          <w:tcPr>
            <w:tcW w:w="434" w:type="pct"/>
            <w:vMerge/>
          </w:tcPr>
          <w:p w14:paraId="5B70B439" w14:textId="77777777" w:rsidR="00853F1B" w:rsidRPr="005D7976" w:rsidRDefault="00853F1B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</w:tcPr>
          <w:p w14:paraId="0DBEDB48" w14:textId="77777777" w:rsidR="00853F1B" w:rsidRDefault="00853F1B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other clients</w:t>
            </w:r>
          </w:p>
        </w:tc>
        <w:tc>
          <w:tcPr>
            <w:tcW w:w="3804" w:type="pct"/>
          </w:tcPr>
          <w:p w14:paraId="2D15D9F7" w14:textId="77777777" w:rsidR="00853F1B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Assist the beneficiary with questions according to applicable work instructions. </w:t>
            </w:r>
          </w:p>
          <w:p w14:paraId="6DEF1433" w14:textId="14C0374A" w:rsidR="004603FC" w:rsidRDefault="004603FC" w:rsidP="0028215B">
            <w:pPr>
              <w:rPr>
                <w:rFonts w:ascii="Verdana" w:hAnsi="Verdana"/>
              </w:rPr>
            </w:pPr>
          </w:p>
        </w:tc>
      </w:tr>
      <w:tr w:rsidR="004A7AD3" w:rsidRPr="005D7976" w14:paraId="2F8E2F1E" w14:textId="77777777" w:rsidTr="00D75E59">
        <w:tc>
          <w:tcPr>
            <w:tcW w:w="434" w:type="pct"/>
            <w:vMerge w:val="restart"/>
          </w:tcPr>
          <w:p w14:paraId="3B7ED91A" w14:textId="048D27AC" w:rsidR="00855CE9" w:rsidRPr="005D7976" w:rsidRDefault="00691DC1" w:rsidP="002D11CF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  <w:gridSpan w:val="2"/>
            <w:tcBorders>
              <w:bottom w:val="single" w:sz="4" w:space="0" w:color="auto"/>
            </w:tcBorders>
          </w:tcPr>
          <w:p w14:paraId="4FE92E0A" w14:textId="42A696C0" w:rsidR="00691DC1" w:rsidRDefault="00691DC1" w:rsidP="00691D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Determine if the beneficiary’s question is related to </w:t>
            </w:r>
            <w:r w:rsidR="00713205">
              <w:rPr>
                <w:rFonts w:ascii="Verdana" w:hAnsi="Verdana"/>
              </w:rPr>
              <w:t xml:space="preserve">one of the call types that are indicated in the High Priority Comments </w:t>
            </w:r>
            <w:r>
              <w:rPr>
                <w:rFonts w:ascii="Verdana" w:hAnsi="Verdana"/>
              </w:rPr>
              <w:t>Enrollment, Eligibility, or Premium Billing.</w:t>
            </w:r>
          </w:p>
          <w:p w14:paraId="0C5B8F1E" w14:textId="3A57A888" w:rsidR="004603FC" w:rsidRPr="005D7976" w:rsidRDefault="004603FC" w:rsidP="00691DC1">
            <w:pPr>
              <w:rPr>
                <w:rFonts w:ascii="Verdana" w:hAnsi="Verdana"/>
              </w:rPr>
            </w:pPr>
          </w:p>
        </w:tc>
      </w:tr>
      <w:tr w:rsidR="0083553C" w:rsidRPr="005D7976" w14:paraId="5E1AAFE9" w14:textId="77777777" w:rsidTr="00D75E59">
        <w:trPr>
          <w:trHeight w:val="90"/>
        </w:trPr>
        <w:tc>
          <w:tcPr>
            <w:tcW w:w="434" w:type="pct"/>
            <w:vMerge/>
          </w:tcPr>
          <w:p w14:paraId="7CB254BB" w14:textId="77777777" w:rsidR="00691DC1" w:rsidRPr="005D7976" w:rsidRDefault="00691DC1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  <w:shd w:val="clear" w:color="auto" w:fill="E6E6E6"/>
          </w:tcPr>
          <w:p w14:paraId="60698B09" w14:textId="77777777" w:rsidR="00691DC1" w:rsidRPr="00691DC1" w:rsidRDefault="00691DC1" w:rsidP="00691DC1">
            <w:pPr>
              <w:jc w:val="center"/>
              <w:rPr>
                <w:rFonts w:ascii="Verdana" w:hAnsi="Verdana"/>
                <w:b/>
              </w:rPr>
            </w:pPr>
            <w:r w:rsidRPr="00691DC1">
              <w:rPr>
                <w:rFonts w:ascii="Verdana" w:hAnsi="Verdana"/>
                <w:b/>
              </w:rPr>
              <w:t>If...</w:t>
            </w:r>
          </w:p>
        </w:tc>
        <w:tc>
          <w:tcPr>
            <w:tcW w:w="3804" w:type="pct"/>
            <w:shd w:val="clear" w:color="auto" w:fill="E6E6E6"/>
          </w:tcPr>
          <w:p w14:paraId="4C07B0E9" w14:textId="77777777" w:rsidR="00691DC1" w:rsidRPr="00691DC1" w:rsidRDefault="00691DC1" w:rsidP="00691DC1">
            <w:pPr>
              <w:jc w:val="center"/>
              <w:rPr>
                <w:rFonts w:ascii="Verdana" w:hAnsi="Verdana"/>
                <w:b/>
              </w:rPr>
            </w:pPr>
            <w:r w:rsidRPr="00691DC1">
              <w:rPr>
                <w:rFonts w:ascii="Verdana" w:hAnsi="Verdana"/>
                <w:b/>
              </w:rPr>
              <w:t>Then...</w:t>
            </w:r>
          </w:p>
        </w:tc>
      </w:tr>
      <w:tr w:rsidR="004A7AD3" w:rsidRPr="005D7976" w14:paraId="2D621998" w14:textId="77777777" w:rsidTr="00D75E59">
        <w:trPr>
          <w:trHeight w:val="90"/>
        </w:trPr>
        <w:tc>
          <w:tcPr>
            <w:tcW w:w="434" w:type="pct"/>
            <w:vMerge/>
          </w:tcPr>
          <w:p w14:paraId="40DB729C" w14:textId="77777777" w:rsidR="00691DC1" w:rsidRPr="005D7976" w:rsidRDefault="00691DC1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</w:tcPr>
          <w:p w14:paraId="3DC892E7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804" w:type="pct"/>
          </w:tcPr>
          <w:p w14:paraId="52B885A7" w14:textId="4E438A3E" w:rsidR="00691DC1" w:rsidRPr="00DE641C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Warm </w:t>
            </w:r>
            <w:r>
              <w:rPr>
                <w:rFonts w:ascii="Verdana" w:hAnsi="Verdana"/>
              </w:rPr>
              <w:t xml:space="preserve">transfer the call to </w:t>
            </w:r>
            <w:proofErr w:type="spellStart"/>
            <w:r w:rsidR="009F6F30">
              <w:rPr>
                <w:rFonts w:ascii="Verdana" w:hAnsi="Verdana"/>
              </w:rPr>
              <w:t>BSwift</w:t>
            </w:r>
            <w:proofErr w:type="spellEnd"/>
            <w:r w:rsidR="009F6F30">
              <w:rPr>
                <w:rFonts w:ascii="Verdana" w:hAnsi="Verdana"/>
              </w:rPr>
              <w:t xml:space="preserve"> </w:t>
            </w:r>
            <w:r w:rsidR="00AA482B">
              <w:rPr>
                <w:rFonts w:ascii="Verdana" w:hAnsi="Verdana"/>
              </w:rPr>
              <w:t>Benefits Administrator</w:t>
            </w:r>
            <w:r>
              <w:rPr>
                <w:rFonts w:ascii="Verdana" w:hAnsi="Verdana"/>
              </w:rPr>
              <w:t xml:space="preserve"> at</w:t>
            </w:r>
            <w:r w:rsidR="00300622">
              <w:rPr>
                <w:rFonts w:ascii="Verdana" w:hAnsi="Verdana"/>
              </w:rPr>
              <w:t xml:space="preserve"> </w:t>
            </w:r>
            <w:r w:rsidR="00A46C4B">
              <w:rPr>
                <w:rFonts w:ascii="Verdana" w:hAnsi="Verdana"/>
              </w:rPr>
              <w:t xml:space="preserve">the number indicated in the High Priority </w:t>
            </w:r>
            <w:r w:rsidR="00946CB9">
              <w:rPr>
                <w:rFonts w:ascii="Verdana" w:hAnsi="Verdana"/>
              </w:rPr>
              <w:t>C</w:t>
            </w:r>
            <w:r w:rsidR="00A46C4B">
              <w:rPr>
                <w:rFonts w:ascii="Verdana" w:hAnsi="Verdana"/>
              </w:rPr>
              <w:t>omment</w:t>
            </w:r>
            <w:r w:rsidR="00127616">
              <w:rPr>
                <w:rFonts w:ascii="Verdana" w:hAnsi="Verdana"/>
              </w:rPr>
              <w:t>s</w:t>
            </w:r>
            <w:r w:rsidR="00A46C4B">
              <w:rPr>
                <w:rFonts w:ascii="Verdana" w:hAnsi="Verdana"/>
              </w:rPr>
              <w:t xml:space="preserve">. </w:t>
            </w:r>
          </w:p>
          <w:p w14:paraId="0BEC3A6D" w14:textId="77777777" w:rsidR="00691DC1" w:rsidRDefault="00691DC1" w:rsidP="0028215B">
            <w:pPr>
              <w:rPr>
                <w:rFonts w:ascii="Verdana" w:hAnsi="Verdana"/>
              </w:rPr>
            </w:pPr>
          </w:p>
          <w:p w14:paraId="4A490E47" w14:textId="421D55B9" w:rsidR="004E1659" w:rsidRPr="004E1659" w:rsidRDefault="004E1659" w:rsidP="0028215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 w:rsidRPr="004E1659">
              <w:rPr>
                <w:rFonts w:ascii="Verdana" w:hAnsi="Verdana"/>
              </w:rPr>
              <w:t>Provide the representative with the beneficiary’s Medicare Beneficiary Identifier (MBI).</w:t>
            </w:r>
          </w:p>
          <w:p w14:paraId="6FB59401" w14:textId="77777777" w:rsidR="004E1659" w:rsidRDefault="004E1659" w:rsidP="0028215B">
            <w:pPr>
              <w:rPr>
                <w:rFonts w:ascii="Verdana" w:hAnsi="Verdana"/>
              </w:rPr>
            </w:pPr>
          </w:p>
          <w:p w14:paraId="008A2A83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Hours of Operations:</w:t>
            </w:r>
          </w:p>
          <w:p w14:paraId="4F8D9EEF" w14:textId="77777777" w:rsidR="00691DC1" w:rsidRDefault="00691DC1" w:rsidP="00691DC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 1</w:t>
            </w:r>
            <w:r w:rsidRPr="00691DC1"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 xml:space="preserve"> - September 30</w:t>
            </w:r>
            <w:r w:rsidRPr="00691DC1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>: 8:00AM - 6:00PM EST</w:t>
            </w:r>
          </w:p>
          <w:p w14:paraId="07170B46" w14:textId="77777777" w:rsidR="00691DC1" w:rsidRDefault="00691DC1" w:rsidP="00691DC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October 1</w:t>
            </w:r>
            <w:r w:rsidRPr="00691DC1"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 xml:space="preserve"> - January 31</w:t>
            </w:r>
            <w:r w:rsidRPr="00691DC1"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>: 8:00AM - 8:00PM EST</w:t>
            </w:r>
          </w:p>
          <w:p w14:paraId="1A183035" w14:textId="77777777" w:rsidR="00691DC1" w:rsidRDefault="00691DC1" w:rsidP="00691DC1">
            <w:pPr>
              <w:rPr>
                <w:rFonts w:ascii="Verdana" w:hAnsi="Verdana"/>
              </w:rPr>
            </w:pPr>
          </w:p>
          <w:p w14:paraId="66EBEB41" w14:textId="319F01F8" w:rsidR="00926334" w:rsidRPr="00A3142C" w:rsidRDefault="00A3142C" w:rsidP="00A3142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DE96964" wp14:editId="2E7D0AD4">
                  <wp:extent cx="308610" cy="3086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1DC1" w:rsidRPr="00A3142C">
              <w:rPr>
                <w:rFonts w:ascii="Verdana" w:hAnsi="Verdana"/>
                <w:b/>
              </w:rPr>
              <w:t xml:space="preserve">CCR Note:  </w:t>
            </w:r>
            <w:r w:rsidR="00691DC1" w:rsidRPr="00926334">
              <w:rPr>
                <w:rFonts w:ascii="Verdana" w:hAnsi="Verdana"/>
              </w:rPr>
              <w:t xml:space="preserve">If after hours, </w:t>
            </w:r>
            <w:r w:rsidR="00926334" w:rsidRPr="00926334">
              <w:rPr>
                <w:rFonts w:ascii="Verdana" w:hAnsi="Verdana"/>
              </w:rPr>
              <w:t>s</w:t>
            </w:r>
            <w:r w:rsidR="00926334" w:rsidRPr="00A3142C">
              <w:rPr>
                <w:rFonts w:ascii="Verdana" w:hAnsi="Verdana"/>
              </w:rPr>
              <w:t xml:space="preserve">end an email to </w:t>
            </w:r>
            <w:hyperlink r:id="rId10" w:tooltip="Copy link and paste in &quot;To&quot; in Outlook" w:history="1">
              <w:r w:rsidR="00926334" w:rsidRPr="00A3142C">
                <w:rPr>
                  <w:rStyle w:val="Hyperlink"/>
                  <w:rFonts w:ascii="Verdana" w:hAnsi="Verdana"/>
                </w:rPr>
                <w:t>RM RSCPB Team</w:t>
              </w:r>
            </w:hyperlink>
            <w:r w:rsidR="00926334" w:rsidRPr="00A3142C">
              <w:rPr>
                <w:rFonts w:ascii="Verdana" w:hAnsi="Verdana"/>
              </w:rPr>
              <w:t xml:space="preserve"> and CC </w:t>
            </w:r>
            <w:hyperlink r:id="rId11" w:history="1">
              <w:r w:rsidR="00926334" w:rsidRPr="00D75E59">
                <w:rPr>
                  <w:rStyle w:val="Hyperlink"/>
                  <w:rFonts w:ascii="Verdana" w:hAnsi="Verdana"/>
                </w:rPr>
                <w:t>Katlyn Gleason</w:t>
              </w:r>
            </w:hyperlink>
            <w:r w:rsidR="00D75E59">
              <w:rPr>
                <w:rFonts w:ascii="Verdana" w:hAnsi="Verdana"/>
              </w:rPr>
              <w:t xml:space="preserve"> and</w:t>
            </w:r>
            <w:r w:rsidR="00926334" w:rsidRPr="00A3142C">
              <w:rPr>
                <w:rFonts w:ascii="Verdana" w:hAnsi="Verdana"/>
              </w:rPr>
              <w:t xml:space="preserve"> </w:t>
            </w:r>
            <w:hyperlink r:id="rId12" w:history="1">
              <w:r w:rsidR="00D75E59" w:rsidRPr="00D75E59">
                <w:rPr>
                  <w:rStyle w:val="Hyperlink"/>
                  <w:rFonts w:ascii="Verdana" w:hAnsi="Verdana"/>
                </w:rPr>
                <w:t>Angel Buckley</w:t>
              </w:r>
            </w:hyperlink>
            <w:r w:rsidR="00D75E59" w:rsidRPr="00D75E59">
              <w:rPr>
                <w:rFonts w:ascii="Verdana" w:hAnsi="Verdana"/>
              </w:rPr>
              <w:t xml:space="preserve"> </w:t>
            </w:r>
            <w:r w:rsidR="00926334" w:rsidRPr="00A3142C">
              <w:rPr>
                <w:rFonts w:ascii="Verdana" w:hAnsi="Verdana"/>
              </w:rPr>
              <w:t>with the information listed below:</w:t>
            </w:r>
          </w:p>
          <w:p w14:paraId="03AD00F2" w14:textId="17490C07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Beneficiary </w:t>
            </w:r>
            <w:r w:rsidR="00926334" w:rsidRPr="00A3142C">
              <w:rPr>
                <w:rFonts w:ascii="Verdana" w:hAnsi="Verdana"/>
              </w:rPr>
              <w:t>First Name:</w:t>
            </w:r>
          </w:p>
          <w:p w14:paraId="1F09FFB6" w14:textId="68301009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</w:t>
            </w:r>
            <w:r w:rsidR="00926334" w:rsidRPr="00A3142C">
              <w:rPr>
                <w:rFonts w:ascii="Verdana" w:hAnsi="Verdana"/>
              </w:rPr>
              <w:t xml:space="preserve"> Last Name: </w:t>
            </w:r>
          </w:p>
          <w:p w14:paraId="5DA39AA5" w14:textId="1359FAB6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</w:t>
            </w:r>
            <w:r w:rsidR="00926334" w:rsidRPr="00A3142C">
              <w:rPr>
                <w:rFonts w:ascii="Verdana" w:hAnsi="Verdana"/>
              </w:rPr>
              <w:t xml:space="preserve"> Phone Number: </w:t>
            </w:r>
          </w:p>
          <w:p w14:paraId="68708840" w14:textId="18AE0E0F" w:rsidR="00926334" w:rsidRPr="00A3142C" w:rsidRDefault="00A3142C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Beneficiary </w:t>
            </w:r>
            <w:r w:rsidR="00926334" w:rsidRPr="00A3142C">
              <w:rPr>
                <w:rFonts w:ascii="Verdana" w:hAnsi="Verdana"/>
              </w:rPr>
              <w:t xml:space="preserve">Full Address: </w:t>
            </w:r>
          </w:p>
          <w:p w14:paraId="4027F710" w14:textId="0DB027D7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 xml:space="preserve">MBI: </w:t>
            </w:r>
          </w:p>
          <w:p w14:paraId="583DE54C" w14:textId="77777777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>Is a callback required? Yes/No:</w:t>
            </w:r>
          </w:p>
          <w:p w14:paraId="59926F32" w14:textId="77777777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>Can a detailed voicemail be left if there is no answer? Yes/No:</w:t>
            </w:r>
          </w:p>
          <w:p w14:paraId="61C0C227" w14:textId="43D4FD79" w:rsidR="00926334" w:rsidRPr="00A3142C" w:rsidRDefault="00926334" w:rsidP="00926334">
            <w:pPr>
              <w:pStyle w:val="ListParagraph"/>
              <w:numPr>
                <w:ilvl w:val="0"/>
                <w:numId w:val="8"/>
              </w:numPr>
              <w:spacing w:after="160" w:line="252" w:lineRule="auto"/>
              <w:rPr>
                <w:rFonts w:ascii="Verdana" w:hAnsi="Verdana"/>
              </w:rPr>
            </w:pPr>
            <w:r w:rsidRPr="00A3142C">
              <w:rPr>
                <w:rFonts w:ascii="Verdana" w:hAnsi="Verdana"/>
              </w:rPr>
              <w:t xml:space="preserve">Details of </w:t>
            </w:r>
            <w:r w:rsidR="00A3142C">
              <w:rPr>
                <w:rFonts w:ascii="Verdana" w:hAnsi="Verdana"/>
              </w:rPr>
              <w:t xml:space="preserve">the beneficiary’s </w:t>
            </w:r>
            <w:r w:rsidRPr="00A3142C">
              <w:rPr>
                <w:rFonts w:ascii="Verdana" w:hAnsi="Verdana"/>
              </w:rPr>
              <w:t xml:space="preserve">issue: </w:t>
            </w:r>
          </w:p>
          <w:p w14:paraId="2CFE2870" w14:textId="4BD7545E" w:rsidR="00926334" w:rsidRPr="00691DC1" w:rsidRDefault="00926334" w:rsidP="00691DC1">
            <w:pPr>
              <w:rPr>
                <w:rFonts w:ascii="Verdana" w:hAnsi="Verdana"/>
              </w:rPr>
            </w:pPr>
          </w:p>
        </w:tc>
      </w:tr>
      <w:tr w:rsidR="004A7AD3" w:rsidRPr="005D7976" w14:paraId="0EF736AC" w14:textId="77777777" w:rsidTr="00D75E59">
        <w:trPr>
          <w:trHeight w:val="90"/>
        </w:trPr>
        <w:tc>
          <w:tcPr>
            <w:tcW w:w="434" w:type="pct"/>
            <w:vMerge/>
          </w:tcPr>
          <w:p w14:paraId="277CABF2" w14:textId="77777777" w:rsidR="00691DC1" w:rsidRPr="005D7976" w:rsidRDefault="00691DC1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62" w:type="pct"/>
          </w:tcPr>
          <w:p w14:paraId="74DD2094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804" w:type="pct"/>
          </w:tcPr>
          <w:p w14:paraId="49C9CD48" w14:textId="77777777" w:rsidR="00691DC1" w:rsidRDefault="00691DC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Assist the beneficiary with questions according to applicable work instructions.</w:t>
            </w:r>
          </w:p>
          <w:p w14:paraId="6237BA69" w14:textId="3F981E28" w:rsidR="004603FC" w:rsidRDefault="004603FC" w:rsidP="0028215B">
            <w:pPr>
              <w:rPr>
                <w:rFonts w:ascii="Verdana" w:hAnsi="Verdana"/>
              </w:rPr>
            </w:pPr>
          </w:p>
        </w:tc>
      </w:tr>
      <w:bookmarkEnd w:id="11"/>
    </w:tbl>
    <w:p w14:paraId="3CF926DF" w14:textId="77777777" w:rsidR="00312690" w:rsidRPr="005D7976" w:rsidRDefault="00312690" w:rsidP="005A64DA">
      <w:pPr>
        <w:jc w:val="right"/>
        <w:rPr>
          <w:rFonts w:ascii="Verdana" w:hAnsi="Verdana"/>
        </w:rPr>
      </w:pPr>
    </w:p>
    <w:bookmarkStart w:id="12" w:name="_Log_Activity"/>
    <w:bookmarkEnd w:id="12"/>
    <w:p w14:paraId="3D55104E" w14:textId="6948D28E" w:rsidR="00E74C25" w:rsidRPr="005D7976" w:rsidRDefault="00E74C25" w:rsidP="00E74C25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300622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96690" w:rsidRPr="005D7976" w14:paraId="79D73BC1" w14:textId="77777777" w:rsidTr="00132402">
        <w:tc>
          <w:tcPr>
            <w:tcW w:w="5000" w:type="pct"/>
            <w:shd w:val="clear" w:color="auto" w:fill="C0C0C0"/>
          </w:tcPr>
          <w:p w14:paraId="035F4B45" w14:textId="77777777" w:rsidR="00496690" w:rsidRPr="005D7976" w:rsidRDefault="00853F1B" w:rsidP="0013240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3" w:name="_BSwift_Clients"/>
            <w:bookmarkStart w:id="14" w:name="_Toc23167650"/>
            <w:bookmarkEnd w:id="13"/>
            <w:proofErr w:type="spellStart"/>
            <w:r>
              <w:rPr>
                <w:rFonts w:ascii="Verdana" w:hAnsi="Verdana"/>
                <w:i w:val="0"/>
                <w:iCs w:val="0"/>
              </w:rPr>
              <w:t>BSwift</w:t>
            </w:r>
            <w:proofErr w:type="spellEnd"/>
            <w:r>
              <w:rPr>
                <w:rFonts w:ascii="Verdana" w:hAnsi="Verdana"/>
                <w:i w:val="0"/>
                <w:iCs w:val="0"/>
              </w:rPr>
              <w:t xml:space="preserve"> Clients</w:t>
            </w:r>
            <w:bookmarkEnd w:id="14"/>
            <w:r w:rsidR="00496690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36478B4" w14:textId="77777777" w:rsidR="004603FC" w:rsidRDefault="004603FC" w:rsidP="00853F1B">
      <w:pPr>
        <w:rPr>
          <w:rFonts w:ascii="Verdana" w:hAnsi="Verdana"/>
        </w:rPr>
      </w:pPr>
    </w:p>
    <w:p w14:paraId="4441CE47" w14:textId="14085DB1" w:rsidR="00853F1B" w:rsidRDefault="00853F1B" w:rsidP="00853F1B">
      <w:pPr>
        <w:rPr>
          <w:rFonts w:ascii="Verdana" w:hAnsi="Verdana"/>
        </w:rPr>
      </w:pPr>
      <w:r>
        <w:rPr>
          <w:rFonts w:ascii="Verdana" w:hAnsi="Verdana"/>
        </w:rPr>
        <w:t xml:space="preserve">Below is a complete list of </w:t>
      </w:r>
      <w:proofErr w:type="spellStart"/>
      <w:r>
        <w:rPr>
          <w:rFonts w:ascii="Verdana" w:hAnsi="Verdana"/>
        </w:rPr>
        <w:t>BSwift</w:t>
      </w:r>
      <w:proofErr w:type="spellEnd"/>
      <w:r>
        <w:rPr>
          <w:rFonts w:ascii="Verdana" w:hAnsi="Verdana"/>
        </w:rPr>
        <w:t xml:space="preserve"> clients: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0"/>
        <w:gridCol w:w="1887"/>
        <w:gridCol w:w="9167"/>
      </w:tblGrid>
      <w:tr w:rsidR="00946CB9" w14:paraId="0D28B924" w14:textId="77777777" w:rsidTr="004603FC">
        <w:trPr>
          <w:trHeight w:val="581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themeColor="background1" w:fill="D9D9D9" w:themeFill="background1" w:themeFillShade="D9"/>
          </w:tcPr>
          <w:p w14:paraId="2B935DC0" w14:textId="77777777" w:rsidR="00853F1B" w:rsidRPr="00853F1B" w:rsidRDefault="00853F1B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853F1B">
              <w:rPr>
                <w:rFonts w:ascii="Verdana" w:hAnsi="Verdana" w:cs="Calibri"/>
                <w:b/>
                <w:bCs/>
                <w:color w:val="000000"/>
              </w:rPr>
              <w:t>EGWP Carrier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themeColor="background1" w:fill="D9D9D9" w:themeFill="background1" w:themeFillShade="D9"/>
          </w:tcPr>
          <w:p w14:paraId="4F804E10" w14:textId="77777777" w:rsidR="00853F1B" w:rsidRPr="00853F1B" w:rsidRDefault="00853F1B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853F1B">
              <w:rPr>
                <w:rFonts w:ascii="Verdana" w:hAnsi="Verdana" w:cs="Calibri"/>
                <w:b/>
                <w:bCs/>
                <w:color w:val="000000"/>
              </w:rPr>
              <w:t>STCOB Carrier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themeColor="background1" w:fill="D9D9D9" w:themeFill="background1" w:themeFillShade="D9"/>
          </w:tcPr>
          <w:p w14:paraId="083FA850" w14:textId="77777777" w:rsidR="00853F1B" w:rsidRPr="00853F1B" w:rsidRDefault="00853F1B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b/>
                <w:bCs/>
                <w:color w:val="000000"/>
              </w:rPr>
            </w:pPr>
            <w:r w:rsidRPr="00853F1B">
              <w:rPr>
                <w:rFonts w:ascii="Verdana" w:hAnsi="Verdana" w:cs="Calibri"/>
                <w:b/>
                <w:bCs/>
                <w:color w:val="000000"/>
              </w:rPr>
              <w:t>Client Name</w:t>
            </w:r>
          </w:p>
        </w:tc>
      </w:tr>
      <w:tr w:rsidR="00946CB9" w14:paraId="3C1C182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56C4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4A25B" w14:textId="77777777" w:rsidR="00853F1B" w:rsidRPr="00853F1B" w:rsidRDefault="00853F1B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27FF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7-ELEVEN, INC.</w:t>
            </w:r>
          </w:p>
        </w:tc>
      </w:tr>
      <w:tr w:rsidR="00946CB9" w14:paraId="6712941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117BA" w14:textId="25A5DD6E" w:rsidR="00425AC2" w:rsidRDefault="00425AC2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819F5" w14:textId="77777777" w:rsidR="00425AC2" w:rsidRPr="00853F1B" w:rsidRDefault="00425AC2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88852" w14:textId="52298FB6" w:rsidR="00425AC2" w:rsidRPr="00853F1B" w:rsidRDefault="00425AC2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AMERIJET ROCKETDYNE HOLDINGS, INC.</w:t>
            </w:r>
          </w:p>
        </w:tc>
      </w:tr>
      <w:tr w:rsidR="00946CB9" w14:paraId="1CC39B23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8403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6E7D" w14:textId="77777777" w:rsidR="00853F1B" w:rsidRPr="00853F1B" w:rsidRDefault="00853F1B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6D94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APPLE, INC.</w:t>
            </w:r>
          </w:p>
        </w:tc>
      </w:tr>
      <w:tr w:rsidR="00946CB9" w14:paraId="56AB604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556D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0E38E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697D3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CASE NEW HOLLAND</w:t>
            </w:r>
          </w:p>
        </w:tc>
      </w:tr>
      <w:tr w:rsidR="00946CB9" w14:paraId="4393A712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A647C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9BD9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0B38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CITY OF SAN ANTONIO</w:t>
            </w:r>
          </w:p>
        </w:tc>
      </w:tr>
      <w:tr w:rsidR="00946CB9" w14:paraId="23376FF2" w14:textId="77777777" w:rsidTr="004603FC">
        <w:trPr>
          <w:trHeight w:val="65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D2865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36FC6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EAE6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CUNA MUTUAL LIFE INSURANCE COMPANY</w:t>
            </w:r>
          </w:p>
        </w:tc>
      </w:tr>
      <w:tr w:rsidR="00946CB9" w14:paraId="48C32E16" w14:textId="77777777" w:rsidTr="004603FC">
        <w:trPr>
          <w:trHeight w:val="65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20F5" w14:textId="414259E0" w:rsidR="00425AC2" w:rsidRPr="00DB066A" w:rsidRDefault="00425AC2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94B4B" w14:textId="77777777" w:rsidR="00425AC2" w:rsidRPr="00853F1B" w:rsidRDefault="00425AC2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5DF4" w14:textId="4883AAC2" w:rsidR="00425AC2" w:rsidRPr="00853F1B" w:rsidRDefault="00425AC2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CVSHEALTH</w:t>
            </w:r>
          </w:p>
        </w:tc>
      </w:tr>
      <w:tr w:rsidR="00946CB9" w14:paraId="178D8EB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E4A18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D3085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21D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FBL FINANCIAL GROUP, INC.</w:t>
            </w:r>
          </w:p>
        </w:tc>
      </w:tr>
      <w:tr w:rsidR="00946CB9" w14:paraId="2C87F6F5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4AFE" w14:textId="09401300" w:rsidR="005F4813" w:rsidRPr="00DB066A" w:rsidRDefault="005F4813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X9368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5A5D3" w14:textId="5A5DF6AD" w:rsidR="005F4813" w:rsidRPr="00853F1B" w:rsidRDefault="005F4813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X9393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684A" w14:textId="15FEE13B" w:rsidR="005F4813" w:rsidRPr="00853F1B" w:rsidRDefault="005F4813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 xml:space="preserve">Federal Employees Health Benefits Plan </w:t>
            </w:r>
            <w:bookmarkStart w:id="15" w:name="OLE_LINK3"/>
            <w:r>
              <w:rPr>
                <w:rFonts w:ascii="Verdana" w:hAnsi="Verdana" w:cs="Calibri"/>
                <w:color w:val="000000"/>
              </w:rPr>
              <w:t>(Eligibility/Enrollment only)</w:t>
            </w:r>
            <w:bookmarkEnd w:id="15"/>
          </w:p>
        </w:tc>
      </w:tr>
      <w:tr w:rsidR="00946CB9" w14:paraId="3D926FEB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9E8DD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37F6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8B6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GATX CORPORATION</w:t>
            </w:r>
          </w:p>
        </w:tc>
      </w:tr>
      <w:tr w:rsidR="00946CB9" w14:paraId="463C7A89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C5620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59A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F55D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GENCORP INC</w:t>
            </w:r>
          </w:p>
        </w:tc>
      </w:tr>
      <w:tr w:rsidR="00946CB9" w14:paraId="696E124A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AF6A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4096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947B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J.R. SIMPLOT COMPANY</w:t>
            </w:r>
          </w:p>
        </w:tc>
      </w:tr>
      <w:tr w:rsidR="00946CB9" w14:paraId="5C573995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9865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329AA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49D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JUNIPER NETWORKS</w:t>
            </w:r>
          </w:p>
        </w:tc>
      </w:tr>
      <w:tr w:rsidR="00946CB9" w14:paraId="0945FAB5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8F4CE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436FD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4B92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KPMG LLP</w:t>
            </w:r>
          </w:p>
        </w:tc>
      </w:tr>
      <w:tr w:rsidR="00946CB9" w14:paraId="67881772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F9CFC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6855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D5739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L.L. BEAN, INC.</w:t>
            </w:r>
          </w:p>
        </w:tc>
      </w:tr>
      <w:tr w:rsidR="00946CB9" w14:paraId="30D07B10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EC719" w14:textId="2A918535" w:rsidR="005F4813" w:rsidRPr="00DB066A" w:rsidRDefault="005F4813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X9596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E8DD" w14:textId="6FB66B52" w:rsidR="005F4813" w:rsidRPr="00853F1B" w:rsidRDefault="00401305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X5077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A5DDE" w14:textId="2B9D5D53" w:rsidR="005F4813" w:rsidRPr="00853F1B" w:rsidRDefault="005F4813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Mail Handlers (MHBP) (Eligibility/Enrollment only)</w:t>
            </w:r>
          </w:p>
        </w:tc>
      </w:tr>
      <w:tr w:rsidR="00946CB9" w14:paraId="7819A2B4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6646" w14:textId="77777777" w:rsidR="00EA17B1" w:rsidRDefault="00EA17B1" w:rsidP="00EA17B1">
            <w:pPr>
              <w:jc w:val="center"/>
            </w:pPr>
            <w:r w:rsidRPr="00DB066A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80EB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68A04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MUTUAL BENEFIT LIFE VEBA TRUST</w:t>
            </w:r>
          </w:p>
        </w:tc>
      </w:tr>
      <w:tr w:rsidR="00946CB9" w14:paraId="5FE55ED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B8C6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9354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42E43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9394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B23C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OHIO VALLEY ELECTRIC CORP</w:t>
            </w:r>
          </w:p>
        </w:tc>
      </w:tr>
      <w:tr w:rsidR="00946CB9" w14:paraId="0C383E6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57E4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BF97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7BDC7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PARKER-HANNIFIN CORPORATION</w:t>
            </w:r>
          </w:p>
        </w:tc>
      </w:tr>
      <w:tr w:rsidR="00946CB9" w14:paraId="3C9C1EF6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ABEB" w14:textId="03EF0A1D" w:rsidR="005F4813" w:rsidRPr="00EA620F" w:rsidRDefault="005F4813" w:rsidP="00EA17B1">
            <w:pPr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X9597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1503" w14:textId="7040FBEE" w:rsidR="005F4813" w:rsidRPr="00853F1B" w:rsidRDefault="005F4813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X5078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E83C" w14:textId="068723CC" w:rsidR="005F4813" w:rsidRPr="00853F1B" w:rsidRDefault="005F4813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Rural Letter Carriers (NRLCA) (Eligibility/Enrollment only)</w:t>
            </w:r>
          </w:p>
        </w:tc>
      </w:tr>
      <w:tr w:rsidR="00946CB9" w14:paraId="517394A6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FD235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29B3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87D3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TEVA PHARMACEUTICALS USA</w:t>
            </w:r>
          </w:p>
        </w:tc>
      </w:tr>
      <w:tr w:rsidR="00946CB9" w14:paraId="062B0212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8CD4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989C4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FB7E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TRIUMPH GROUP</w:t>
            </w:r>
          </w:p>
        </w:tc>
      </w:tr>
      <w:tr w:rsidR="00946CB9" w14:paraId="628A565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B123B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722EC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8822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UNISYS CORPORATION</w:t>
            </w:r>
          </w:p>
        </w:tc>
      </w:tr>
      <w:tr w:rsidR="00946CB9" w14:paraId="622C7F9F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4211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71ED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4C5D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UNITED STATES STEEL CORPORATION</w:t>
            </w:r>
          </w:p>
        </w:tc>
      </w:tr>
      <w:tr w:rsidR="00946CB9" w14:paraId="237A935E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EFEB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8FF90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EE16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WORTHINGTON INDUSTRIES</w:t>
            </w:r>
          </w:p>
        </w:tc>
      </w:tr>
      <w:tr w:rsidR="00946CB9" w14:paraId="5C4129F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3AAA" w14:textId="77777777" w:rsidR="00EA17B1" w:rsidRDefault="00EA17B1" w:rsidP="00EA17B1">
            <w:pPr>
              <w:jc w:val="center"/>
            </w:pPr>
            <w:r w:rsidRPr="00EA620F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B6A77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047D9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XILINX, INC</w:t>
            </w:r>
          </w:p>
        </w:tc>
      </w:tr>
      <w:tr w:rsidR="00946CB9" w14:paraId="6F4EE59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3FCA3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9356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E87D" w14:textId="77777777" w:rsidR="00853F1B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X</w:t>
            </w:r>
            <w:r w:rsidR="00853F1B" w:rsidRPr="00853F1B">
              <w:rPr>
                <w:rFonts w:ascii="Verdana" w:hAnsi="Verdana" w:cs="Calibri"/>
                <w:color w:val="000000"/>
              </w:rPr>
              <w:t>9396</w:t>
            </w: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6ACC6" w14:textId="77777777" w:rsidR="00853F1B" w:rsidRPr="00853F1B" w:rsidRDefault="00853F1B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>YALE UNIVERSITY</w:t>
            </w:r>
          </w:p>
        </w:tc>
      </w:tr>
      <w:tr w:rsidR="00946CB9" w14:paraId="4D26171C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AE4DE" w14:textId="77777777" w:rsidR="00EA17B1" w:rsidRDefault="00EA17B1" w:rsidP="00EA17B1">
            <w:pPr>
              <w:jc w:val="center"/>
            </w:pPr>
            <w:r w:rsidRPr="005D1373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AF1BD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B861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r w:rsidRPr="00853F1B">
              <w:rPr>
                <w:rFonts w:ascii="Verdana" w:hAnsi="Verdana" w:cs="Calibri"/>
                <w:color w:val="000000"/>
              </w:rPr>
              <w:t xml:space="preserve">ZIMMER BIOMET </w:t>
            </w:r>
            <w:proofErr w:type="gramStart"/>
            <w:r w:rsidRPr="00853F1B">
              <w:rPr>
                <w:rFonts w:ascii="Verdana" w:hAnsi="Verdana" w:cs="Calibri"/>
                <w:color w:val="000000"/>
              </w:rPr>
              <w:t>HOLDINGS,INC.</w:t>
            </w:r>
            <w:proofErr w:type="gramEnd"/>
          </w:p>
        </w:tc>
      </w:tr>
      <w:tr w:rsidR="00946CB9" w14:paraId="5D3BC4E8" w14:textId="77777777" w:rsidTr="004603FC">
        <w:trPr>
          <w:trHeight w:val="290"/>
        </w:trPr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17E03" w14:textId="77777777" w:rsidR="00EA17B1" w:rsidRDefault="00EA17B1" w:rsidP="00EA17B1">
            <w:pPr>
              <w:jc w:val="center"/>
            </w:pPr>
            <w:r w:rsidRPr="005D1373">
              <w:rPr>
                <w:rFonts w:ascii="Verdana" w:hAnsi="Verdana" w:cs="Calibri"/>
                <w:color w:val="000000"/>
              </w:rPr>
              <w:t>X9359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280F" w14:textId="77777777" w:rsidR="00EA17B1" w:rsidRPr="00853F1B" w:rsidRDefault="00EA17B1" w:rsidP="00EA17B1">
            <w:pPr>
              <w:autoSpaceDE w:val="0"/>
              <w:autoSpaceDN w:val="0"/>
              <w:adjustRightInd w:val="0"/>
              <w:jc w:val="center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3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9A1AA" w14:textId="77777777" w:rsidR="00EA17B1" w:rsidRPr="00853F1B" w:rsidRDefault="00EA17B1" w:rsidP="00EA17B1">
            <w:pPr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</w:rPr>
            </w:pPr>
            <w:proofErr w:type="gramStart"/>
            <w:r w:rsidRPr="00853F1B">
              <w:rPr>
                <w:rFonts w:ascii="Verdana" w:hAnsi="Verdana" w:cs="Calibri"/>
                <w:color w:val="000000"/>
              </w:rPr>
              <w:t>ZOETIS,INC</w:t>
            </w:r>
            <w:proofErr w:type="gramEnd"/>
          </w:p>
        </w:tc>
      </w:tr>
    </w:tbl>
    <w:p w14:paraId="58FDE36D" w14:textId="77777777" w:rsidR="00496690" w:rsidRDefault="00496690" w:rsidP="005A64DA">
      <w:pPr>
        <w:jc w:val="right"/>
        <w:rPr>
          <w:rFonts w:ascii="Verdana" w:hAnsi="Verdana"/>
        </w:rPr>
      </w:pPr>
    </w:p>
    <w:p w14:paraId="1F0AC310" w14:textId="58E02C89" w:rsidR="00E74C25" w:rsidRPr="005D7976" w:rsidRDefault="00D75E59" w:rsidP="00E74C25">
      <w:pPr>
        <w:jc w:val="right"/>
        <w:rPr>
          <w:rFonts w:ascii="Verdana" w:hAnsi="Verdana"/>
        </w:rPr>
      </w:pPr>
      <w:hyperlink w:anchor="_top" w:history="1">
        <w:r w:rsidR="00E74C25"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7CB3ED0B" w14:textId="77777777" w:rsidTr="00B84CFB">
        <w:tc>
          <w:tcPr>
            <w:tcW w:w="5000" w:type="pct"/>
            <w:shd w:val="clear" w:color="auto" w:fill="C0C0C0"/>
          </w:tcPr>
          <w:p w14:paraId="7AE9F6F4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23167651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1D99A952" w14:textId="1B607DDF" w:rsidR="00457D9D" w:rsidRPr="00DB4BE5" w:rsidRDefault="00E82F09" w:rsidP="00457D9D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 SOP:</w:t>
      </w:r>
      <w:r w:rsidR="00457D9D">
        <w:rPr>
          <w:rFonts w:ascii="Verdana" w:hAnsi="Verdana"/>
          <w:b/>
        </w:rPr>
        <w:t xml:space="preserve">  </w:t>
      </w:r>
      <w:r w:rsidR="00457D9D" w:rsidRPr="00DB4BE5">
        <w:rPr>
          <w:rFonts w:ascii="Verdana" w:hAnsi="Verdana"/>
          <w:bCs/>
        </w:rPr>
        <w:t>CALL-0048:</w:t>
      </w:r>
      <w:r w:rsidR="00457D9D" w:rsidRPr="00DB4BE5">
        <w:rPr>
          <w:rFonts w:ascii="Verdana" w:hAnsi="Verdana"/>
          <w:bCs/>
          <w:color w:val="333333"/>
        </w:rPr>
        <w:t xml:space="preserve"> </w:t>
      </w:r>
      <w:r w:rsidR="003146E3">
        <w:rPr>
          <w:rFonts w:ascii="Verdana" w:hAnsi="Verdana"/>
          <w:bCs/>
          <w:color w:val="333333"/>
        </w:rPr>
        <w:t xml:space="preserve"> </w:t>
      </w:r>
      <w:hyperlink r:id="rId13" w:tgtFrame="_blank" w:history="1">
        <w:r w:rsidR="00457D9D"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B017F0A" w14:textId="1FFEF956" w:rsidR="00E82F09" w:rsidRPr="00E82F09" w:rsidRDefault="00E82F09" w:rsidP="00E82F09">
      <w:pPr>
        <w:rPr>
          <w:rFonts w:ascii="Verdana" w:hAnsi="Verdana"/>
          <w:b/>
        </w:rPr>
      </w:pPr>
      <w:r>
        <w:rPr>
          <w:rFonts w:ascii="Verdana" w:hAnsi="Verdana"/>
          <w:b/>
        </w:rPr>
        <w:t>Abbreviations/Definitions:</w:t>
      </w:r>
      <w:r w:rsidR="00B84CFB">
        <w:rPr>
          <w:rFonts w:ascii="Verdana" w:hAnsi="Verdana"/>
          <w:b/>
        </w:rPr>
        <w:t xml:space="preserve">  </w:t>
      </w:r>
      <w:hyperlink r:id="rId14" w:history="1">
        <w:r w:rsidR="00B84CFB">
          <w:rPr>
            <w:rStyle w:val="Hyperlink"/>
            <w:rFonts w:ascii="Verdana" w:hAnsi="Verdana"/>
          </w:rPr>
          <w:t>Abbreviations / Definitions</w:t>
        </w:r>
      </w:hyperlink>
    </w:p>
    <w:p w14:paraId="73736AB6" w14:textId="62221D5B" w:rsidR="00E74C25" w:rsidRPr="005D7976" w:rsidRDefault="00D75E59" w:rsidP="00E74C25">
      <w:pPr>
        <w:jc w:val="right"/>
        <w:rPr>
          <w:rFonts w:ascii="Verdana" w:hAnsi="Verdana"/>
        </w:rPr>
      </w:pPr>
      <w:hyperlink w:anchor="_top" w:history="1">
        <w:r w:rsidR="00E74C25" w:rsidRPr="005D7976">
          <w:rPr>
            <w:rStyle w:val="Hyperlink"/>
            <w:rFonts w:ascii="Verdana" w:hAnsi="Verdana"/>
          </w:rPr>
          <w:t>Top of the Document</w:t>
        </w:r>
      </w:hyperlink>
    </w:p>
    <w:p w14:paraId="2DD1BE48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47B0A3EC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728472D2" w14:textId="383C9D5F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9653" w14:textId="77777777" w:rsidR="00F7102D" w:rsidRDefault="00F7102D">
      <w:r>
        <w:separator/>
      </w:r>
    </w:p>
  </w:endnote>
  <w:endnote w:type="continuationSeparator" w:id="0">
    <w:p w14:paraId="5FD7D5C1" w14:textId="77777777" w:rsidR="00F7102D" w:rsidRDefault="00F7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C6D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CAEBA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A6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1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35AF88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A19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E2AF" w14:textId="77777777" w:rsidR="00F7102D" w:rsidRDefault="00F7102D">
      <w:r>
        <w:separator/>
      </w:r>
    </w:p>
  </w:footnote>
  <w:footnote w:type="continuationSeparator" w:id="0">
    <w:p w14:paraId="1DE906EB" w14:textId="77777777" w:rsidR="00F7102D" w:rsidRDefault="00F7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517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7565"/>
    <w:multiLevelType w:val="hybridMultilevel"/>
    <w:tmpl w:val="F2AE86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6BE3"/>
    <w:multiLevelType w:val="hybridMultilevel"/>
    <w:tmpl w:val="8CF0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91EF6"/>
    <w:multiLevelType w:val="hybridMultilevel"/>
    <w:tmpl w:val="F286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6DEC3AC2"/>
    <w:multiLevelType w:val="hybridMultilevel"/>
    <w:tmpl w:val="A496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90754"/>
    <w:multiLevelType w:val="hybridMultilevel"/>
    <w:tmpl w:val="873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12300">
    <w:abstractNumId w:val="0"/>
  </w:num>
  <w:num w:numId="2" w16cid:durableId="69893452">
    <w:abstractNumId w:val="2"/>
  </w:num>
  <w:num w:numId="3" w16cid:durableId="245043892">
    <w:abstractNumId w:val="5"/>
  </w:num>
  <w:num w:numId="4" w16cid:durableId="530999246">
    <w:abstractNumId w:val="6"/>
  </w:num>
  <w:num w:numId="5" w16cid:durableId="1133517882">
    <w:abstractNumId w:val="3"/>
  </w:num>
  <w:num w:numId="6" w16cid:durableId="890532594">
    <w:abstractNumId w:val="1"/>
  </w:num>
  <w:num w:numId="7" w16cid:durableId="379938241">
    <w:abstractNumId w:val="4"/>
  </w:num>
  <w:num w:numId="8" w16cid:durableId="686106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620DE"/>
    <w:rsid w:val="000670F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00D6B"/>
    <w:rsid w:val="00113931"/>
    <w:rsid w:val="00115944"/>
    <w:rsid w:val="001212D7"/>
    <w:rsid w:val="0012373E"/>
    <w:rsid w:val="00127616"/>
    <w:rsid w:val="001360A5"/>
    <w:rsid w:val="0014131D"/>
    <w:rsid w:val="001560C4"/>
    <w:rsid w:val="00160612"/>
    <w:rsid w:val="0016273A"/>
    <w:rsid w:val="00176400"/>
    <w:rsid w:val="001B3879"/>
    <w:rsid w:val="001F1218"/>
    <w:rsid w:val="002016B4"/>
    <w:rsid w:val="002055CF"/>
    <w:rsid w:val="00210824"/>
    <w:rsid w:val="0021112A"/>
    <w:rsid w:val="00243EBB"/>
    <w:rsid w:val="00245B90"/>
    <w:rsid w:val="00245D49"/>
    <w:rsid w:val="00247B20"/>
    <w:rsid w:val="00252221"/>
    <w:rsid w:val="00255C6B"/>
    <w:rsid w:val="00265D86"/>
    <w:rsid w:val="0028215B"/>
    <w:rsid w:val="0028648E"/>
    <w:rsid w:val="00291CE8"/>
    <w:rsid w:val="00296127"/>
    <w:rsid w:val="00296765"/>
    <w:rsid w:val="002B530E"/>
    <w:rsid w:val="002B593E"/>
    <w:rsid w:val="002C282A"/>
    <w:rsid w:val="002D11CF"/>
    <w:rsid w:val="002E349A"/>
    <w:rsid w:val="002E58AD"/>
    <w:rsid w:val="002F1F92"/>
    <w:rsid w:val="002F68DE"/>
    <w:rsid w:val="00300622"/>
    <w:rsid w:val="003007B7"/>
    <w:rsid w:val="00312690"/>
    <w:rsid w:val="003146E3"/>
    <w:rsid w:val="0033143E"/>
    <w:rsid w:val="0034476F"/>
    <w:rsid w:val="00363874"/>
    <w:rsid w:val="003725A1"/>
    <w:rsid w:val="003868A2"/>
    <w:rsid w:val="00392A5B"/>
    <w:rsid w:val="003A6D70"/>
    <w:rsid w:val="003B1F86"/>
    <w:rsid w:val="003C4627"/>
    <w:rsid w:val="003E6C1A"/>
    <w:rsid w:val="00401305"/>
    <w:rsid w:val="0040640A"/>
    <w:rsid w:val="00406DB5"/>
    <w:rsid w:val="0042336D"/>
    <w:rsid w:val="00425AC2"/>
    <w:rsid w:val="00430E7B"/>
    <w:rsid w:val="00443301"/>
    <w:rsid w:val="00443F8C"/>
    <w:rsid w:val="00457D9D"/>
    <w:rsid w:val="00457EAE"/>
    <w:rsid w:val="004603FC"/>
    <w:rsid w:val="0046239E"/>
    <w:rsid w:val="00463AC8"/>
    <w:rsid w:val="004768BE"/>
    <w:rsid w:val="00477F73"/>
    <w:rsid w:val="0048355A"/>
    <w:rsid w:val="00496690"/>
    <w:rsid w:val="004A7AD3"/>
    <w:rsid w:val="004B719C"/>
    <w:rsid w:val="004D35CC"/>
    <w:rsid w:val="004D3C53"/>
    <w:rsid w:val="004E1659"/>
    <w:rsid w:val="00512486"/>
    <w:rsid w:val="0052465B"/>
    <w:rsid w:val="00524CDD"/>
    <w:rsid w:val="00582E85"/>
    <w:rsid w:val="005910B5"/>
    <w:rsid w:val="005957A9"/>
    <w:rsid w:val="005A4709"/>
    <w:rsid w:val="005A6118"/>
    <w:rsid w:val="005A64DA"/>
    <w:rsid w:val="005B4E1E"/>
    <w:rsid w:val="005C1D83"/>
    <w:rsid w:val="005C1E07"/>
    <w:rsid w:val="005D7976"/>
    <w:rsid w:val="005E650E"/>
    <w:rsid w:val="005F4813"/>
    <w:rsid w:val="006154B7"/>
    <w:rsid w:val="00622D77"/>
    <w:rsid w:val="00625170"/>
    <w:rsid w:val="00627F34"/>
    <w:rsid w:val="00636B18"/>
    <w:rsid w:val="00637CA1"/>
    <w:rsid w:val="0064267B"/>
    <w:rsid w:val="00645DBB"/>
    <w:rsid w:val="00666848"/>
    <w:rsid w:val="00674A16"/>
    <w:rsid w:val="00691DC1"/>
    <w:rsid w:val="00691E10"/>
    <w:rsid w:val="0069588F"/>
    <w:rsid w:val="006A0481"/>
    <w:rsid w:val="006B311E"/>
    <w:rsid w:val="006C653F"/>
    <w:rsid w:val="006C701A"/>
    <w:rsid w:val="006D0A7B"/>
    <w:rsid w:val="006F565C"/>
    <w:rsid w:val="006F7DFC"/>
    <w:rsid w:val="00704AF2"/>
    <w:rsid w:val="00710E68"/>
    <w:rsid w:val="00713205"/>
    <w:rsid w:val="00714BA0"/>
    <w:rsid w:val="00720CC2"/>
    <w:rsid w:val="007269B6"/>
    <w:rsid w:val="00726E7A"/>
    <w:rsid w:val="007271D7"/>
    <w:rsid w:val="00727209"/>
    <w:rsid w:val="007306E4"/>
    <w:rsid w:val="0073294A"/>
    <w:rsid w:val="00732E52"/>
    <w:rsid w:val="00745690"/>
    <w:rsid w:val="00752801"/>
    <w:rsid w:val="00765D11"/>
    <w:rsid w:val="007747B8"/>
    <w:rsid w:val="00785118"/>
    <w:rsid w:val="00786BEB"/>
    <w:rsid w:val="007A7477"/>
    <w:rsid w:val="007C77DD"/>
    <w:rsid w:val="007E3EA6"/>
    <w:rsid w:val="008042E1"/>
    <w:rsid w:val="00804D63"/>
    <w:rsid w:val="00806B9D"/>
    <w:rsid w:val="00812777"/>
    <w:rsid w:val="0083553C"/>
    <w:rsid w:val="0084129E"/>
    <w:rsid w:val="00843390"/>
    <w:rsid w:val="00846373"/>
    <w:rsid w:val="00853F1B"/>
    <w:rsid w:val="00855CE9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21235"/>
    <w:rsid w:val="00922A78"/>
    <w:rsid w:val="00926334"/>
    <w:rsid w:val="00935765"/>
    <w:rsid w:val="00946CB9"/>
    <w:rsid w:val="00947783"/>
    <w:rsid w:val="00954FE8"/>
    <w:rsid w:val="00961F23"/>
    <w:rsid w:val="009726E0"/>
    <w:rsid w:val="00975003"/>
    <w:rsid w:val="0097769B"/>
    <w:rsid w:val="00990822"/>
    <w:rsid w:val="00992E77"/>
    <w:rsid w:val="0099415F"/>
    <w:rsid w:val="009C4A31"/>
    <w:rsid w:val="009F64F1"/>
    <w:rsid w:val="009F6F30"/>
    <w:rsid w:val="009F6FD2"/>
    <w:rsid w:val="009F78D3"/>
    <w:rsid w:val="00A253CD"/>
    <w:rsid w:val="00A3142C"/>
    <w:rsid w:val="00A316C7"/>
    <w:rsid w:val="00A46C4B"/>
    <w:rsid w:val="00A4732A"/>
    <w:rsid w:val="00A62CC6"/>
    <w:rsid w:val="00A7166B"/>
    <w:rsid w:val="00A83BA0"/>
    <w:rsid w:val="00A84F18"/>
    <w:rsid w:val="00A85045"/>
    <w:rsid w:val="00A90F96"/>
    <w:rsid w:val="00A94142"/>
    <w:rsid w:val="00A95738"/>
    <w:rsid w:val="00A97B7D"/>
    <w:rsid w:val="00AA4825"/>
    <w:rsid w:val="00AA482B"/>
    <w:rsid w:val="00AB33E1"/>
    <w:rsid w:val="00AD1646"/>
    <w:rsid w:val="00AF038B"/>
    <w:rsid w:val="00B13B31"/>
    <w:rsid w:val="00B25223"/>
    <w:rsid w:val="00B26045"/>
    <w:rsid w:val="00B44C55"/>
    <w:rsid w:val="00B4604B"/>
    <w:rsid w:val="00B46A95"/>
    <w:rsid w:val="00B5423E"/>
    <w:rsid w:val="00B544C2"/>
    <w:rsid w:val="00B5566F"/>
    <w:rsid w:val="00B64BE7"/>
    <w:rsid w:val="00B70CC4"/>
    <w:rsid w:val="00B84CFB"/>
    <w:rsid w:val="00BB02DE"/>
    <w:rsid w:val="00BB371A"/>
    <w:rsid w:val="00BD7B25"/>
    <w:rsid w:val="00BE1AFF"/>
    <w:rsid w:val="00BF6B5A"/>
    <w:rsid w:val="00BF74E9"/>
    <w:rsid w:val="00C0030C"/>
    <w:rsid w:val="00C01FF9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77E73"/>
    <w:rsid w:val="00CB0C1D"/>
    <w:rsid w:val="00CC5AA2"/>
    <w:rsid w:val="00CC721A"/>
    <w:rsid w:val="00CD0963"/>
    <w:rsid w:val="00CD6DAF"/>
    <w:rsid w:val="00CE3D42"/>
    <w:rsid w:val="00CE53E6"/>
    <w:rsid w:val="00CF5CC0"/>
    <w:rsid w:val="00CF6131"/>
    <w:rsid w:val="00D06EAA"/>
    <w:rsid w:val="00D2756F"/>
    <w:rsid w:val="00D319D7"/>
    <w:rsid w:val="00D36733"/>
    <w:rsid w:val="00D471B5"/>
    <w:rsid w:val="00D477E6"/>
    <w:rsid w:val="00D571DB"/>
    <w:rsid w:val="00D6774D"/>
    <w:rsid w:val="00D7361F"/>
    <w:rsid w:val="00D75191"/>
    <w:rsid w:val="00D75E59"/>
    <w:rsid w:val="00D76C66"/>
    <w:rsid w:val="00D80929"/>
    <w:rsid w:val="00D85254"/>
    <w:rsid w:val="00D900F5"/>
    <w:rsid w:val="00D92C60"/>
    <w:rsid w:val="00DC4FFC"/>
    <w:rsid w:val="00DD69A8"/>
    <w:rsid w:val="00DE641C"/>
    <w:rsid w:val="00DF6BE4"/>
    <w:rsid w:val="00E157BC"/>
    <w:rsid w:val="00E26469"/>
    <w:rsid w:val="00E31B3C"/>
    <w:rsid w:val="00E32580"/>
    <w:rsid w:val="00E3761D"/>
    <w:rsid w:val="00E427EA"/>
    <w:rsid w:val="00E46B6E"/>
    <w:rsid w:val="00E50E4A"/>
    <w:rsid w:val="00E74C25"/>
    <w:rsid w:val="00E82F09"/>
    <w:rsid w:val="00E91F5F"/>
    <w:rsid w:val="00E96D66"/>
    <w:rsid w:val="00EA17B1"/>
    <w:rsid w:val="00EA6F59"/>
    <w:rsid w:val="00EB12DD"/>
    <w:rsid w:val="00EB153E"/>
    <w:rsid w:val="00EB57EB"/>
    <w:rsid w:val="00ED50CF"/>
    <w:rsid w:val="00EF289B"/>
    <w:rsid w:val="00F012A4"/>
    <w:rsid w:val="00F077A2"/>
    <w:rsid w:val="00F1152F"/>
    <w:rsid w:val="00F13E0B"/>
    <w:rsid w:val="00F207B3"/>
    <w:rsid w:val="00F405F9"/>
    <w:rsid w:val="00F5486B"/>
    <w:rsid w:val="00F658E0"/>
    <w:rsid w:val="00F7102D"/>
    <w:rsid w:val="00F80BC2"/>
    <w:rsid w:val="00F859B7"/>
    <w:rsid w:val="00FC1C44"/>
    <w:rsid w:val="00FD6598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EC5368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691DC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75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75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922A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2A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2A78"/>
  </w:style>
  <w:style w:type="paragraph" w:styleId="CommentSubject">
    <w:name w:val="annotation subject"/>
    <w:basedOn w:val="CommentText"/>
    <w:next w:val="CommentText"/>
    <w:link w:val="CommentSubjectChar"/>
    <w:rsid w:val="00922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2A78"/>
    <w:rPr>
      <w:b/>
      <w:bCs/>
    </w:rPr>
  </w:style>
  <w:style w:type="paragraph" w:styleId="Revision">
    <w:name w:val="Revision"/>
    <w:hidden/>
    <w:uiPriority w:val="99"/>
    <w:semiHidden/>
    <w:rsid w:val="002B530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5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licy.corp.cvscaremark.com/pnp/faces/SecureDocRenderer?documentId=CALL-0048&amp;uid=pnpdev1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uckleyA@aetna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easonK@aetn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l202003251005525742@aetna.com?subject=Federal%20After%20Hours%20Reques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QCPV885\AppData\Local\Microsoft\Windows\INetCache\Content.Outlook\MD6S68ZD\CMS-2-01742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9CEA0-860C-48B1-BE4F-A64E93BB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624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5077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2023-12-29T18:40:00Z</dcterms:created>
  <dcterms:modified xsi:type="dcterms:W3CDTF">2023-12-29T18:40:00Z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2022-10-05T17:18:38Z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1914230d-4473-4b29-8531-05940f05ba57</vt:lpwstr>
  </property>
  <property fmtid="{D5CDD505-2E9C-101B-9397-08002B2CF9AE}" pid="8" name="MSIP_Label_67599526-06ca-49cc-9fa9-5307800a949a_ContentBits">
    <vt:lpwstr>0</vt:lpwstr>
  </property>
</Properties>
</file>