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A27C" w14:textId="77777777" w:rsidR="00255C6B" w:rsidRPr="005D7976" w:rsidRDefault="00C9655B" w:rsidP="007F6966">
      <w:pPr>
        <w:pStyle w:val="Heading1"/>
        <w:spacing w:line="360" w:lineRule="auto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MED D</w:t>
      </w:r>
      <w:r w:rsidR="001C1703">
        <w:rPr>
          <w:rFonts w:ascii="Verdana" w:hAnsi="Verdana"/>
          <w:color w:val="000000"/>
          <w:sz w:val="36"/>
          <w:szCs w:val="36"/>
        </w:rPr>
        <w:t xml:space="preserve"> - Long Term Care</w:t>
      </w:r>
      <w:r w:rsidR="00C63A4B">
        <w:rPr>
          <w:rFonts w:ascii="Verdana" w:hAnsi="Verdana"/>
          <w:color w:val="000000"/>
          <w:sz w:val="36"/>
          <w:szCs w:val="36"/>
        </w:rPr>
        <w:t xml:space="preserve"> (LTC)</w:t>
      </w:r>
      <w:r w:rsidR="001C1703">
        <w:rPr>
          <w:rFonts w:ascii="Verdana" w:hAnsi="Verdana"/>
          <w:color w:val="000000"/>
          <w:sz w:val="36"/>
          <w:szCs w:val="36"/>
        </w:rPr>
        <w:t xml:space="preserve"> </w:t>
      </w:r>
    </w:p>
    <w:p w14:paraId="7A91CA73" w14:textId="4507164B" w:rsidR="00667363" w:rsidRDefault="00B13B3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D7976">
        <w:rPr>
          <w:rFonts w:ascii="Verdana" w:hAnsi="Verdana"/>
        </w:rPr>
        <w:fldChar w:fldCharType="begin"/>
      </w:r>
      <w:r w:rsidRPr="005D7976">
        <w:rPr>
          <w:rFonts w:ascii="Verdana" w:hAnsi="Verdana"/>
        </w:rPr>
        <w:instrText xml:space="preserve"> TOC \o "2-3" \n \h \z \u </w:instrText>
      </w:r>
      <w:r w:rsidRPr="005D7976">
        <w:rPr>
          <w:rFonts w:ascii="Verdana" w:hAnsi="Verdana"/>
        </w:rPr>
        <w:fldChar w:fldCharType="separate"/>
      </w:r>
      <w:hyperlink w:anchor="_Toc89687169" w:history="1">
        <w:r w:rsidR="00667363" w:rsidRPr="007836F0">
          <w:rPr>
            <w:rStyle w:val="Hyperlink"/>
            <w:rFonts w:ascii="Verdana" w:hAnsi="Verdana"/>
            <w:noProof/>
          </w:rPr>
          <w:t>General Information</w:t>
        </w:r>
      </w:hyperlink>
    </w:p>
    <w:p w14:paraId="461098BC" w14:textId="5F5BEF67" w:rsidR="00667363" w:rsidRDefault="007F696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87170" w:history="1">
        <w:r w:rsidR="00667363" w:rsidRPr="007836F0">
          <w:rPr>
            <w:rStyle w:val="Hyperlink"/>
            <w:rFonts w:ascii="Verdana" w:hAnsi="Verdana"/>
            <w:noProof/>
          </w:rPr>
          <w:t>Long Term Care and Low Income Subsidy</w:t>
        </w:r>
      </w:hyperlink>
    </w:p>
    <w:p w14:paraId="05C040FD" w14:textId="38A0CCF5" w:rsidR="00667363" w:rsidRDefault="007F696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87171" w:history="1">
        <w:r w:rsidR="00667363" w:rsidRPr="007836F0">
          <w:rPr>
            <w:rStyle w:val="Hyperlink"/>
            <w:rFonts w:ascii="Verdana" w:hAnsi="Verdana"/>
            <w:noProof/>
          </w:rPr>
          <w:t>Pharmacy</w:t>
        </w:r>
      </w:hyperlink>
    </w:p>
    <w:p w14:paraId="3B89D179" w14:textId="37457955" w:rsidR="00667363" w:rsidRDefault="007F696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87172" w:history="1">
        <w:r w:rsidR="00667363" w:rsidRPr="007836F0">
          <w:rPr>
            <w:rStyle w:val="Hyperlink"/>
            <w:rFonts w:ascii="Verdana" w:hAnsi="Verdana"/>
            <w:noProof/>
          </w:rPr>
          <w:t>Related Documents</w:t>
        </w:r>
      </w:hyperlink>
    </w:p>
    <w:p w14:paraId="272ED7B5" w14:textId="3135E533" w:rsidR="008B69C1" w:rsidRPr="00D2108B" w:rsidRDefault="00B13B31" w:rsidP="0046239E">
      <w:pPr>
        <w:pStyle w:val="TOC2"/>
        <w:tabs>
          <w:tab w:val="right" w:leader="dot" w:pos="12950"/>
        </w:tabs>
        <w:ind w:left="0"/>
        <w:rPr>
          <w:rFonts w:ascii="Verdana" w:hAnsi="Verdana"/>
        </w:rPr>
      </w:pPr>
      <w:r w:rsidRPr="005D7976">
        <w:rPr>
          <w:rFonts w:ascii="Verdana" w:hAnsi="Verdana"/>
        </w:rPr>
        <w:fldChar w:fldCharType="end"/>
      </w:r>
    </w:p>
    <w:p w14:paraId="14076D8B" w14:textId="77777777" w:rsidR="00667363" w:rsidRPr="00D2108B" w:rsidRDefault="00667363" w:rsidP="00667363">
      <w:pPr>
        <w:rPr>
          <w:rFonts w:ascii="Verdana" w:hAnsi="Verdana"/>
        </w:rPr>
      </w:pPr>
    </w:p>
    <w:p w14:paraId="3BC54D57" w14:textId="0DC78014" w:rsidR="00846373" w:rsidRPr="005D7976" w:rsidRDefault="00667363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  <w:bookmarkStart w:id="1" w:name="_Overview"/>
      <w:bookmarkEnd w:id="1"/>
      <w:r w:rsidRPr="00667363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1C1703">
        <w:rPr>
          <w:rFonts w:ascii="Verdana" w:hAnsi="Verdana"/>
        </w:rPr>
        <w:t xml:space="preserve">This document </w:t>
      </w:r>
      <w:r w:rsidR="003A4930">
        <w:rPr>
          <w:rFonts w:ascii="Verdana" w:hAnsi="Verdana"/>
        </w:rPr>
        <w:t>provides information on long term care</w:t>
      </w:r>
      <w:r w:rsidR="00C63A4B">
        <w:rPr>
          <w:rFonts w:ascii="Verdana" w:hAnsi="Verdana"/>
        </w:rPr>
        <w:t>.</w:t>
      </w:r>
    </w:p>
    <w:p w14:paraId="533F5283" w14:textId="71B545EB" w:rsidR="00C63A4B" w:rsidRPr="005D7976" w:rsidRDefault="00C63A4B" w:rsidP="00C63A4B">
      <w:pPr>
        <w:jc w:val="right"/>
        <w:rPr>
          <w:rFonts w:ascii="Verdana" w:hAnsi="Verdana"/>
        </w:rPr>
      </w:pPr>
      <w:bookmarkStart w:id="2" w:name="_Rationale"/>
      <w:bookmarkStart w:id="3" w:name="_Definitions"/>
      <w:bookmarkStart w:id="4" w:name="_Definitions/Abbreviations"/>
      <w:bookmarkEnd w:id="2"/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C1703" w:rsidRPr="005D7976" w14:paraId="12F4788F" w14:textId="77777777" w:rsidTr="00C63A4B">
        <w:tc>
          <w:tcPr>
            <w:tcW w:w="5000" w:type="pct"/>
            <w:shd w:val="clear" w:color="auto" w:fill="C0C0C0"/>
          </w:tcPr>
          <w:p w14:paraId="3F4D48F3" w14:textId="77777777" w:rsidR="001C1703" w:rsidRPr="005D7976" w:rsidRDefault="001C1703" w:rsidP="00B86D71">
            <w:pPr>
              <w:pStyle w:val="Heading2"/>
              <w:jc w:val="both"/>
              <w:rPr>
                <w:rFonts w:ascii="Verdana" w:hAnsi="Verdana"/>
                <w:i w:val="0"/>
                <w:iCs w:val="0"/>
              </w:rPr>
            </w:pPr>
            <w:bookmarkStart w:id="5" w:name="_Toc89687169"/>
            <w:r>
              <w:rPr>
                <w:rFonts w:ascii="Verdana" w:hAnsi="Verdana"/>
                <w:i w:val="0"/>
                <w:iCs w:val="0"/>
              </w:rPr>
              <w:t>General Information</w:t>
            </w:r>
            <w:bookmarkEnd w:id="5"/>
          </w:p>
        </w:tc>
      </w:tr>
    </w:tbl>
    <w:p w14:paraId="47C1B71A" w14:textId="77777777" w:rsidR="001C1703" w:rsidRDefault="001C1703" w:rsidP="001C1703">
      <w:pPr>
        <w:rPr>
          <w:rFonts w:ascii="Verdana" w:hAnsi="Verdana"/>
        </w:rPr>
      </w:pPr>
      <w:r>
        <w:rPr>
          <w:rFonts w:ascii="Verdana" w:hAnsi="Verdana"/>
        </w:rPr>
        <w:t>Long Term Care</w:t>
      </w:r>
      <w:r w:rsidR="00C9655B">
        <w:rPr>
          <w:rFonts w:ascii="Verdana" w:hAnsi="Verdana"/>
        </w:rPr>
        <w:t xml:space="preserve"> (LTC)</w:t>
      </w:r>
      <w:r>
        <w:rPr>
          <w:rFonts w:ascii="Verdana" w:hAnsi="Verdana"/>
        </w:rPr>
        <w:t xml:space="preserve"> </w:t>
      </w:r>
      <w:r w:rsidR="00C9655B">
        <w:rPr>
          <w:rFonts w:ascii="Verdana" w:hAnsi="Verdana"/>
        </w:rPr>
        <w:t xml:space="preserve">are services that help meet the needs, both medical and non-medical, of </w:t>
      </w:r>
      <w:r w:rsidR="00AD30F1">
        <w:rPr>
          <w:rFonts w:ascii="Verdana" w:hAnsi="Verdana"/>
        </w:rPr>
        <w:t>individuals</w:t>
      </w:r>
      <w:r w:rsidR="00C9655B">
        <w:rPr>
          <w:rFonts w:ascii="Verdana" w:hAnsi="Verdana"/>
        </w:rPr>
        <w:t xml:space="preserve"> who need assistance with activities of daily living. Long Term Care can be provi</w:t>
      </w:r>
      <w:r w:rsidR="00E15767">
        <w:rPr>
          <w:rFonts w:ascii="Verdana" w:hAnsi="Verdana"/>
        </w:rPr>
        <w:t xml:space="preserve">ded </w:t>
      </w:r>
      <w:r w:rsidR="004646E4">
        <w:rPr>
          <w:rFonts w:ascii="Verdana" w:hAnsi="Verdana"/>
        </w:rPr>
        <w:t>as h</w:t>
      </w:r>
      <w:r w:rsidR="00E15767">
        <w:rPr>
          <w:rFonts w:ascii="Verdana" w:hAnsi="Verdana"/>
        </w:rPr>
        <w:t xml:space="preserve">ome and </w:t>
      </w:r>
      <w:proofErr w:type="gramStart"/>
      <w:r w:rsidR="00E15767">
        <w:rPr>
          <w:rFonts w:ascii="Verdana" w:hAnsi="Verdana"/>
        </w:rPr>
        <w:t>community based</w:t>
      </w:r>
      <w:proofErr w:type="gramEnd"/>
      <w:r w:rsidR="00E15767">
        <w:rPr>
          <w:rFonts w:ascii="Verdana" w:hAnsi="Verdana"/>
        </w:rPr>
        <w:t xml:space="preserve"> services (HCBS) or at an </w:t>
      </w:r>
      <w:r w:rsidR="004646E4">
        <w:rPr>
          <w:rFonts w:ascii="Verdana" w:hAnsi="Verdana"/>
          <w:color w:val="000000"/>
        </w:rPr>
        <w:t>i</w:t>
      </w:r>
      <w:r w:rsidR="00E15767">
        <w:rPr>
          <w:rFonts w:ascii="Verdana" w:hAnsi="Verdana"/>
          <w:color w:val="000000"/>
        </w:rPr>
        <w:t xml:space="preserve">nstitution; such as </w:t>
      </w:r>
      <w:r w:rsidR="004646E4">
        <w:rPr>
          <w:rFonts w:ascii="Verdana" w:hAnsi="Verdana"/>
          <w:color w:val="000000"/>
        </w:rPr>
        <w:t xml:space="preserve">long term care facility, </w:t>
      </w:r>
      <w:r w:rsidR="00E15767">
        <w:rPr>
          <w:rFonts w:ascii="Verdana" w:hAnsi="Verdana"/>
          <w:color w:val="000000"/>
        </w:rPr>
        <w:t>a</w:t>
      </w:r>
      <w:r w:rsidR="00C9655B">
        <w:rPr>
          <w:rFonts w:ascii="Verdana" w:hAnsi="Verdana"/>
        </w:rPr>
        <w:t xml:space="preserve">ssisted living facility (ATL), </w:t>
      </w:r>
      <w:r w:rsidRPr="001C1703">
        <w:rPr>
          <w:rFonts w:ascii="Verdana" w:hAnsi="Verdana"/>
        </w:rPr>
        <w:t>nursing home, rehabilitation faci</w:t>
      </w:r>
      <w:r w:rsidR="00E15767">
        <w:rPr>
          <w:rFonts w:ascii="Verdana" w:hAnsi="Verdana"/>
        </w:rPr>
        <w:t>lity</w:t>
      </w:r>
      <w:r w:rsidRPr="001C1703">
        <w:rPr>
          <w:rFonts w:ascii="Verdana" w:hAnsi="Verdana"/>
        </w:rPr>
        <w:t>, inpatient behavioral health facilit</w:t>
      </w:r>
      <w:r w:rsidR="00E15767">
        <w:rPr>
          <w:rFonts w:ascii="Verdana" w:hAnsi="Verdana"/>
        </w:rPr>
        <w:t>y</w:t>
      </w:r>
      <w:r w:rsidRPr="001C1703">
        <w:rPr>
          <w:rFonts w:ascii="Verdana" w:hAnsi="Verdana"/>
        </w:rPr>
        <w:t xml:space="preserve">, and </w:t>
      </w:r>
      <w:r w:rsidR="00E15767">
        <w:rPr>
          <w:rFonts w:ascii="Verdana" w:hAnsi="Verdana"/>
        </w:rPr>
        <w:t>long</w:t>
      </w:r>
      <w:r w:rsidR="004646E4">
        <w:rPr>
          <w:rFonts w:ascii="Verdana" w:hAnsi="Verdana"/>
        </w:rPr>
        <w:t xml:space="preserve"> </w:t>
      </w:r>
      <w:r w:rsidR="00E15767">
        <w:rPr>
          <w:rFonts w:ascii="Verdana" w:hAnsi="Verdana"/>
        </w:rPr>
        <w:t>term chronic care hospital</w:t>
      </w:r>
      <w:r w:rsidRPr="001C1703">
        <w:rPr>
          <w:rFonts w:ascii="Verdana" w:hAnsi="Verdana"/>
        </w:rPr>
        <w:t>.</w:t>
      </w:r>
    </w:p>
    <w:p w14:paraId="0BA4D3A0" w14:textId="77777777" w:rsidR="0091097B" w:rsidRDefault="0091097B" w:rsidP="001C1703">
      <w:pPr>
        <w:rPr>
          <w:rFonts w:ascii="Verdana" w:hAnsi="Verdana"/>
        </w:rPr>
      </w:pPr>
    </w:p>
    <w:p w14:paraId="4D57458A" w14:textId="1BC95C09" w:rsidR="0091097B" w:rsidRDefault="0091097B" w:rsidP="001C1703">
      <w:pPr>
        <w:rPr>
          <w:rFonts w:ascii="Verdana" w:hAnsi="Verdana"/>
        </w:rPr>
      </w:pPr>
      <w:r>
        <w:rPr>
          <w:rFonts w:ascii="Verdana" w:hAnsi="Verdana"/>
          <w:b/>
        </w:rPr>
        <w:t xml:space="preserve">Note:  </w:t>
      </w:r>
      <w:r w:rsidRPr="0091097B">
        <w:rPr>
          <w:rFonts w:ascii="Verdana" w:hAnsi="Verdana"/>
        </w:rPr>
        <w:t xml:space="preserve">If a </w:t>
      </w:r>
      <w:r>
        <w:rPr>
          <w:rFonts w:ascii="Verdana" w:hAnsi="Verdana"/>
        </w:rPr>
        <w:t xml:space="preserve">beneficiary </w:t>
      </w:r>
      <w:r w:rsidRPr="0091097B">
        <w:rPr>
          <w:rFonts w:ascii="Verdana" w:hAnsi="Verdana"/>
        </w:rPr>
        <w:t>moves out of a LTC facility</w:t>
      </w:r>
      <w:r>
        <w:rPr>
          <w:rFonts w:ascii="Verdana" w:hAnsi="Verdana"/>
        </w:rPr>
        <w:t>, the facility will contact Social Security to advise of the status change</w:t>
      </w:r>
      <w:r w:rsidR="00CC28DA">
        <w:rPr>
          <w:rFonts w:ascii="Verdana" w:hAnsi="Verdana"/>
        </w:rPr>
        <w:t>. If the beneficiary has questions about the change, advise them to contact the facility to determine if they have started the process.</w:t>
      </w:r>
    </w:p>
    <w:p w14:paraId="170477C7" w14:textId="77777777" w:rsidR="00DE61AB" w:rsidRPr="00DE61AB" w:rsidRDefault="00DE61AB" w:rsidP="001C1703">
      <w:pPr>
        <w:rPr>
          <w:rFonts w:ascii="Verdana" w:hAnsi="Verdana"/>
        </w:rPr>
      </w:pPr>
    </w:p>
    <w:p w14:paraId="51A0C9D8" w14:textId="11A22B99" w:rsidR="00B00032" w:rsidRPr="005D7976" w:rsidRDefault="007F6966" w:rsidP="00B00032">
      <w:pPr>
        <w:jc w:val="right"/>
        <w:rPr>
          <w:rFonts w:ascii="Verdana" w:hAnsi="Verdana"/>
        </w:rPr>
      </w:pPr>
      <w:hyperlink w:anchor="_top" w:history="1">
        <w:r w:rsidR="00B00032" w:rsidRPr="00B0003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75C336FC" w14:textId="77777777" w:rsidTr="0064267B">
        <w:tc>
          <w:tcPr>
            <w:tcW w:w="5000" w:type="pct"/>
            <w:shd w:val="clear" w:color="auto" w:fill="C0C0C0"/>
          </w:tcPr>
          <w:p w14:paraId="206C4C98" w14:textId="77777777" w:rsidR="005A64DA" w:rsidRPr="005D7976" w:rsidRDefault="004646E4" w:rsidP="00AD30F1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" w:name="_Process_for_Handling"/>
            <w:bookmarkStart w:id="7" w:name="_Toc89687170"/>
            <w:bookmarkEnd w:id="6"/>
            <w:r>
              <w:rPr>
                <w:rFonts w:ascii="Verdana" w:hAnsi="Verdana"/>
                <w:i w:val="0"/>
                <w:iCs w:val="0"/>
              </w:rPr>
              <w:t xml:space="preserve">Long Term Care and </w:t>
            </w:r>
            <w:proofErr w:type="gramStart"/>
            <w:r>
              <w:rPr>
                <w:rFonts w:ascii="Verdana" w:hAnsi="Verdana"/>
                <w:i w:val="0"/>
                <w:iCs w:val="0"/>
              </w:rPr>
              <w:t>L</w:t>
            </w:r>
            <w:r w:rsidR="00AD30F1">
              <w:rPr>
                <w:rFonts w:ascii="Verdana" w:hAnsi="Verdana"/>
                <w:i w:val="0"/>
                <w:iCs w:val="0"/>
              </w:rPr>
              <w:t>ow Income</w:t>
            </w:r>
            <w:proofErr w:type="gramEnd"/>
            <w:r w:rsidR="00AD30F1">
              <w:rPr>
                <w:rFonts w:ascii="Verdana" w:hAnsi="Verdana"/>
                <w:i w:val="0"/>
                <w:iCs w:val="0"/>
              </w:rPr>
              <w:t xml:space="preserve"> Subsidy</w:t>
            </w:r>
            <w:bookmarkEnd w:id="7"/>
          </w:p>
        </w:tc>
      </w:tr>
    </w:tbl>
    <w:p w14:paraId="5D216498" w14:textId="77777777" w:rsidR="00E645B6" w:rsidRDefault="00E645B6" w:rsidP="00E645B6">
      <w:pPr>
        <w:rPr>
          <w:rFonts w:ascii="Verdana" w:hAnsi="Verdana"/>
        </w:rPr>
      </w:pPr>
      <w:r>
        <w:rPr>
          <w:rFonts w:ascii="Verdana" w:hAnsi="Verdana"/>
        </w:rPr>
        <w:t xml:space="preserve">Beneficiaries with both Medicare and full Medicaid coverage (Full Benefit Dual eligible) will be placed into Low Income Subsidy (LIS) Category 3 if </w:t>
      </w:r>
      <w:r>
        <w:rPr>
          <w:rFonts w:ascii="Verdana" w:hAnsi="Verdana"/>
          <w:b/>
        </w:rPr>
        <w:t>ONE</w:t>
      </w:r>
      <w:r>
        <w:rPr>
          <w:rFonts w:ascii="Verdana" w:hAnsi="Verdana"/>
        </w:rPr>
        <w:t xml:space="preserve"> of the follow</w:t>
      </w:r>
      <w:r w:rsidR="00C63A4B">
        <w:rPr>
          <w:rFonts w:ascii="Verdana" w:hAnsi="Verdana"/>
        </w:rPr>
        <w:t>ing</w:t>
      </w:r>
      <w:r>
        <w:rPr>
          <w:rFonts w:ascii="Verdana" w:hAnsi="Verdana"/>
        </w:rPr>
        <w:t xml:space="preserve"> requirements is met:</w:t>
      </w:r>
    </w:p>
    <w:p w14:paraId="651D0F95" w14:textId="77777777" w:rsidR="00E645B6" w:rsidRDefault="00E645B6" w:rsidP="00E645B6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They expect to be institutionalized in a LTC for a full calendar month</w:t>
      </w:r>
    </w:p>
    <w:p w14:paraId="26EBA457" w14:textId="77777777" w:rsidR="00E645B6" w:rsidRPr="00E645B6" w:rsidRDefault="00E645B6" w:rsidP="00E645B6">
      <w:pPr>
        <w:ind w:left="360"/>
        <w:rPr>
          <w:rFonts w:ascii="Verdana" w:hAnsi="Verdana"/>
          <w:b/>
        </w:rPr>
      </w:pPr>
      <w:r>
        <w:rPr>
          <w:rFonts w:ascii="Verdana" w:hAnsi="Verdana"/>
          <w:b/>
        </w:rPr>
        <w:t>OR</w:t>
      </w:r>
    </w:p>
    <w:p w14:paraId="390C75F2" w14:textId="77777777" w:rsidR="00E645B6" w:rsidRPr="00E645B6" w:rsidRDefault="00E645B6" w:rsidP="00E645B6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They receive Home and Community Based Services, in a facility</w:t>
      </w:r>
    </w:p>
    <w:p w14:paraId="2E15A4AD" w14:textId="77777777" w:rsidR="004646E4" w:rsidRDefault="004646E4" w:rsidP="005A64DA">
      <w:pPr>
        <w:jc w:val="right"/>
        <w:rPr>
          <w:rFonts w:ascii="Verdana" w:hAnsi="Verdana"/>
        </w:rPr>
      </w:pPr>
    </w:p>
    <w:p w14:paraId="0F5B3992" w14:textId="77777777" w:rsidR="00E645B6" w:rsidRDefault="00E645B6" w:rsidP="00E645B6">
      <w:pPr>
        <w:rPr>
          <w:rFonts w:ascii="Verdana" w:hAnsi="Verdana"/>
        </w:rPr>
      </w:pPr>
      <w:r>
        <w:rPr>
          <w:rFonts w:ascii="Verdana" w:hAnsi="Verdana"/>
        </w:rPr>
        <w:t>When placed in LIS Category 3, beneficiaries will receive 100% premium assistance (up to the benchmark premium for their state) and will have a $0 deductible and $0 copayment on Medicare Part D covered drugs.</w:t>
      </w:r>
    </w:p>
    <w:p w14:paraId="39BC5CC6" w14:textId="77777777" w:rsidR="004646E4" w:rsidRPr="00E645B6" w:rsidRDefault="00E645B6" w:rsidP="00E645B6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I</w:t>
      </w:r>
      <w:r w:rsidRPr="00E645B6">
        <w:rPr>
          <w:rFonts w:ascii="Verdana" w:hAnsi="Verdana"/>
        </w:rPr>
        <w:t>f the beneficiary selects a plan with a premium above the benchmark premium for their state, the beneficiary will be responsible for the remainder.</w:t>
      </w:r>
    </w:p>
    <w:p w14:paraId="0A3FDD64" w14:textId="77777777" w:rsidR="00E645B6" w:rsidRDefault="00E645B6" w:rsidP="005A64DA">
      <w:pPr>
        <w:jc w:val="right"/>
        <w:rPr>
          <w:rFonts w:ascii="Verdana" w:hAnsi="Verdana"/>
        </w:rPr>
      </w:pPr>
      <w:bookmarkStart w:id="8" w:name="_Log_Activity"/>
      <w:bookmarkEnd w:id="8"/>
    </w:p>
    <w:p w14:paraId="4F1D076A" w14:textId="3A342DC9" w:rsidR="00E645B6" w:rsidRDefault="00E645B6" w:rsidP="00E645B6">
      <w:pPr>
        <w:rPr>
          <w:rFonts w:ascii="Verdana" w:hAnsi="Verdana"/>
        </w:rPr>
      </w:pPr>
      <w:r>
        <w:rPr>
          <w:rFonts w:ascii="Verdana" w:hAnsi="Verdana"/>
        </w:rPr>
        <w:t xml:space="preserve">Refer to </w:t>
      </w:r>
      <w:hyperlink r:id="rId8" w:history="1">
        <w:r w:rsidRPr="00E645B6">
          <w:rPr>
            <w:rStyle w:val="Hyperlink"/>
            <w:rFonts w:ascii="Verdana" w:hAnsi="Verdana"/>
          </w:rPr>
          <w:t>MED D - Low Income Subsidy (LIS) Informational Overview</w:t>
        </w:r>
      </w:hyperlink>
      <w:r>
        <w:rPr>
          <w:rFonts w:ascii="Verdana" w:hAnsi="Verdana"/>
        </w:rPr>
        <w:t>.</w:t>
      </w:r>
    </w:p>
    <w:p w14:paraId="27B24F4B" w14:textId="77777777" w:rsidR="00C63A4B" w:rsidRDefault="00C63A4B" w:rsidP="003A4930">
      <w:pPr>
        <w:rPr>
          <w:rFonts w:ascii="Verdana" w:hAnsi="Verdana"/>
        </w:rPr>
      </w:pPr>
    </w:p>
    <w:p w14:paraId="7E98A54B" w14:textId="3EBA4B01" w:rsidR="003A4930" w:rsidRDefault="00C63A4B" w:rsidP="003A4930">
      <w:pPr>
        <w:rPr>
          <w:rFonts w:ascii="Verdana" w:hAnsi="Verdana"/>
        </w:rPr>
      </w:pPr>
      <w:r>
        <w:rPr>
          <w:rFonts w:ascii="Verdana" w:hAnsi="Verdana"/>
          <w:b/>
        </w:rPr>
        <w:t xml:space="preserve">Note:  </w:t>
      </w:r>
      <w:r>
        <w:rPr>
          <w:rFonts w:ascii="Verdana" w:hAnsi="Verdana"/>
        </w:rPr>
        <w:t>Beneficiaries are provided with a Special Election Period (SEP) when they mov</w:t>
      </w:r>
      <w:r w:rsidR="00D2108B">
        <w:rPr>
          <w:rFonts w:ascii="Verdana" w:hAnsi="Verdana"/>
        </w:rPr>
        <w:t>e</w:t>
      </w:r>
      <w:r>
        <w:rPr>
          <w:rFonts w:ascii="Verdana" w:hAnsi="Verdana"/>
        </w:rPr>
        <w:t xml:space="preserve"> into, reside in, or move out of a </w:t>
      </w:r>
      <w:proofErr w:type="gramStart"/>
      <w:r>
        <w:rPr>
          <w:rFonts w:ascii="Verdana" w:hAnsi="Verdana"/>
        </w:rPr>
        <w:t>long term</w:t>
      </w:r>
      <w:proofErr w:type="gramEnd"/>
      <w:r>
        <w:rPr>
          <w:rFonts w:ascii="Verdana" w:hAnsi="Verdana"/>
        </w:rPr>
        <w:t xml:space="preserve"> care facility.</w:t>
      </w:r>
    </w:p>
    <w:p w14:paraId="410A1F2A" w14:textId="77777777" w:rsidR="003A4930" w:rsidRDefault="003A4930" w:rsidP="00C63A4B">
      <w:pPr>
        <w:rPr>
          <w:rFonts w:ascii="Verdana" w:hAnsi="Verdana"/>
        </w:rPr>
      </w:pPr>
    </w:p>
    <w:p w14:paraId="3C5A5DE8" w14:textId="5E11215A" w:rsidR="00C63A4B" w:rsidRDefault="00C63A4B" w:rsidP="00C63A4B">
      <w:pPr>
        <w:rPr>
          <w:rFonts w:ascii="Verdana" w:hAnsi="Verdana"/>
        </w:rPr>
      </w:pPr>
      <w:r>
        <w:rPr>
          <w:rFonts w:ascii="Verdana" w:hAnsi="Verdana"/>
        </w:rPr>
        <w:t xml:space="preserve">Refer to </w:t>
      </w:r>
      <w:hyperlink r:id="rId9" w:history="1">
        <w:r w:rsidRPr="00C63A4B">
          <w:rPr>
            <w:rStyle w:val="Hyperlink"/>
            <w:rFonts w:ascii="Verdana" w:hAnsi="Verdana"/>
          </w:rPr>
          <w:t>MED D - Election Periods for Enrollment, Disenrollment &amp; Reason Codes (AEP, IEP, SEP)</w:t>
        </w:r>
      </w:hyperlink>
      <w:r>
        <w:rPr>
          <w:rFonts w:ascii="Verdana" w:hAnsi="Verdana"/>
        </w:rPr>
        <w:t>.</w:t>
      </w:r>
    </w:p>
    <w:p w14:paraId="71D16A57" w14:textId="77777777" w:rsidR="00C63A4B" w:rsidRPr="00D2108B" w:rsidRDefault="00C63A4B" w:rsidP="00AD30F1">
      <w:pPr>
        <w:jc w:val="right"/>
        <w:rPr>
          <w:rStyle w:val="Hyperlink"/>
          <w:rFonts w:ascii="Verdana" w:hAnsi="Verdana"/>
          <w:color w:val="auto"/>
        </w:rPr>
      </w:pPr>
    </w:p>
    <w:p w14:paraId="09E97C60" w14:textId="335457D9" w:rsidR="00AD30F1" w:rsidRPr="005D7976" w:rsidRDefault="007F6966" w:rsidP="00AD30F1">
      <w:pPr>
        <w:jc w:val="right"/>
        <w:rPr>
          <w:rFonts w:ascii="Verdana" w:hAnsi="Verdana"/>
        </w:rPr>
      </w:pPr>
      <w:hyperlink w:anchor="_top" w:history="1">
        <w:r w:rsidR="00AD30F1" w:rsidRPr="00B0003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D30F1" w:rsidRPr="005D7976" w14:paraId="2835CFCC" w14:textId="77777777" w:rsidTr="003A4930">
        <w:tc>
          <w:tcPr>
            <w:tcW w:w="5000" w:type="pct"/>
            <w:shd w:val="clear" w:color="auto" w:fill="C0C0C0"/>
          </w:tcPr>
          <w:p w14:paraId="5D553096" w14:textId="24BDB267" w:rsidR="00AD30F1" w:rsidRPr="005D7976" w:rsidRDefault="00AD30F1" w:rsidP="00F561CD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" w:name="_Toc89687171"/>
            <w:r>
              <w:rPr>
                <w:rFonts w:ascii="Verdana" w:hAnsi="Verdana"/>
                <w:i w:val="0"/>
                <w:iCs w:val="0"/>
              </w:rPr>
              <w:t>Pharmac</w:t>
            </w:r>
            <w:r w:rsidR="00F561CD">
              <w:rPr>
                <w:rFonts w:ascii="Verdana" w:hAnsi="Verdana"/>
                <w:i w:val="0"/>
                <w:iCs w:val="0"/>
              </w:rPr>
              <w:t>y</w:t>
            </w:r>
            <w:bookmarkEnd w:id="9"/>
          </w:p>
        </w:tc>
      </w:tr>
    </w:tbl>
    <w:p w14:paraId="33718EC4" w14:textId="4260300D" w:rsidR="00AD30F1" w:rsidRDefault="003A4930" w:rsidP="003A4930">
      <w:pPr>
        <w:rPr>
          <w:rFonts w:ascii="Verdana" w:hAnsi="Verdana"/>
        </w:rPr>
      </w:pPr>
      <w:r>
        <w:rPr>
          <w:rFonts w:ascii="Verdana" w:hAnsi="Verdana"/>
        </w:rPr>
        <w:t xml:space="preserve">Long term care facilities require specialized packaging when dispensing medications. To meet the special needs of the beneficiaries and the packaging requirements, each facility contracts with a </w:t>
      </w:r>
      <w:proofErr w:type="gramStart"/>
      <w:r>
        <w:rPr>
          <w:rFonts w:ascii="Verdana" w:hAnsi="Verdana"/>
        </w:rPr>
        <w:t>long term</w:t>
      </w:r>
      <w:proofErr w:type="gramEnd"/>
      <w:r>
        <w:rPr>
          <w:rFonts w:ascii="Verdana" w:hAnsi="Verdana"/>
        </w:rPr>
        <w:t xml:space="preserve"> care pharmacy to provide prescription drug coverage. The beneficiary should check with the </w:t>
      </w:r>
      <w:proofErr w:type="gramStart"/>
      <w:r>
        <w:rPr>
          <w:rFonts w:ascii="Verdana" w:hAnsi="Verdana"/>
        </w:rPr>
        <w:t>long term</w:t>
      </w:r>
      <w:proofErr w:type="gramEnd"/>
      <w:r>
        <w:rPr>
          <w:rFonts w:ascii="Verdana" w:hAnsi="Verdana"/>
        </w:rPr>
        <w:t xml:space="preserve"> care facility to verify if they can utilize their own pharmacy for filling their prescription drugs</w:t>
      </w:r>
      <w:r w:rsidR="00BA2F95">
        <w:rPr>
          <w:rFonts w:ascii="Verdana" w:hAnsi="Verdana"/>
        </w:rPr>
        <w:t xml:space="preserve"> and/or if the facility requires special packaging of their medications</w:t>
      </w:r>
      <w:r>
        <w:rPr>
          <w:rFonts w:ascii="Verdana" w:hAnsi="Verdana"/>
        </w:rPr>
        <w:t xml:space="preserve">. </w:t>
      </w:r>
    </w:p>
    <w:p w14:paraId="267EBDE3" w14:textId="77777777" w:rsidR="003A4930" w:rsidRDefault="003A4930" w:rsidP="00AD30F1">
      <w:pPr>
        <w:rPr>
          <w:rFonts w:ascii="Verdana" w:hAnsi="Verdana"/>
        </w:rPr>
      </w:pPr>
    </w:p>
    <w:p w14:paraId="67476848" w14:textId="21D7F034" w:rsidR="003A4930" w:rsidRDefault="00AD30F1" w:rsidP="003A4930">
      <w:pPr>
        <w:rPr>
          <w:rFonts w:ascii="Verdana" w:hAnsi="Verdana"/>
        </w:rPr>
      </w:pPr>
      <w:r>
        <w:rPr>
          <w:rFonts w:ascii="Verdana" w:hAnsi="Verdana"/>
        </w:rPr>
        <w:t>The mail order pharmacy is unable to specially prepare bubble or blister pack medication for long term care facilities.</w:t>
      </w:r>
      <w:r w:rsidR="006827F3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Refer to </w:t>
      </w:r>
      <w:hyperlink r:id="rId10" w:history="1">
        <w:r w:rsidRPr="00AD30F1">
          <w:rPr>
            <w:rStyle w:val="Hyperlink"/>
            <w:rFonts w:ascii="Verdana" w:hAnsi="Verdana"/>
          </w:rPr>
          <w:t>Medications not Available via Home Delivery</w:t>
        </w:r>
      </w:hyperlink>
      <w:r>
        <w:rPr>
          <w:rFonts w:ascii="Verdana" w:hAnsi="Verdana"/>
        </w:rPr>
        <w:t>.</w:t>
      </w:r>
      <w:r w:rsidR="003A4930">
        <w:rPr>
          <w:rFonts w:ascii="Verdana" w:hAnsi="Verdana"/>
        </w:rPr>
        <w:t xml:space="preserve"> </w:t>
      </w:r>
      <w:r w:rsidR="00BA2F95">
        <w:rPr>
          <w:rFonts w:ascii="Verdana" w:hAnsi="Verdana"/>
        </w:rPr>
        <w:t>The beneficiary or their representative is responsible to confirm with the LTC facility what type of packaging is required.</w:t>
      </w:r>
    </w:p>
    <w:p w14:paraId="3978828D" w14:textId="77777777" w:rsidR="003A4930" w:rsidRDefault="003A4930" w:rsidP="005A64DA">
      <w:pPr>
        <w:jc w:val="right"/>
        <w:rPr>
          <w:rFonts w:ascii="Verdana" w:hAnsi="Verdana"/>
        </w:rPr>
      </w:pPr>
    </w:p>
    <w:p w14:paraId="448C5878" w14:textId="2D5A72FE" w:rsidR="00B47184" w:rsidRDefault="00B47184" w:rsidP="006827F3">
      <w:pPr>
        <w:rPr>
          <w:rFonts w:ascii="Verdana" w:hAnsi="Verdana"/>
        </w:rPr>
      </w:pPr>
      <w:r>
        <w:rPr>
          <w:rFonts w:ascii="Verdana" w:hAnsi="Verdana"/>
        </w:rPr>
        <w:t xml:space="preserve">The purpose of using a bubble/blister packs or </w:t>
      </w:r>
      <w:proofErr w:type="gramStart"/>
      <w:r>
        <w:rPr>
          <w:rFonts w:ascii="Verdana" w:hAnsi="Verdana"/>
        </w:rPr>
        <w:t>Multi-dose</w:t>
      </w:r>
      <w:proofErr w:type="gramEnd"/>
      <w:r>
        <w:rPr>
          <w:rFonts w:ascii="Verdana" w:hAnsi="Verdana"/>
        </w:rPr>
        <w:t xml:space="preserve"> packaging is to help beneficiaries with medication adherence.</w:t>
      </w:r>
      <w:r w:rsidR="00F561C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The difference is how they are packaged.  </w:t>
      </w:r>
    </w:p>
    <w:p w14:paraId="58F715A9" w14:textId="25C65FF2" w:rsidR="00B47184" w:rsidRDefault="00B47184" w:rsidP="00B47184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B47184">
        <w:rPr>
          <w:rFonts w:ascii="Verdana" w:hAnsi="Verdana"/>
        </w:rPr>
        <w:t xml:space="preserve">A bubble or blister pack is a transparent, molded piece of plastic, often sealed to a sheet of cardboard to make a card. The card </w:t>
      </w:r>
      <w:r w:rsidR="00835473">
        <w:rPr>
          <w:rFonts w:ascii="Verdana" w:hAnsi="Verdana"/>
        </w:rPr>
        <w:t>only contains one medication.</w:t>
      </w:r>
    </w:p>
    <w:p w14:paraId="0E3A8FEF" w14:textId="7AB6658A" w:rsidR="00B47184" w:rsidRPr="00B47184" w:rsidRDefault="00B47184" w:rsidP="00B47184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Multi-dose packaging is a plastic pouch that contains all the medication a beneficiary should take o</w:t>
      </w:r>
      <w:r w:rsidR="00F561CD">
        <w:rPr>
          <w:rFonts w:ascii="Verdana" w:hAnsi="Verdana"/>
        </w:rPr>
        <w:t>n a given date and time of day.</w:t>
      </w:r>
    </w:p>
    <w:p w14:paraId="06F9DFF8" w14:textId="2173D0CE" w:rsidR="006827F3" w:rsidRDefault="006827F3" w:rsidP="006827F3">
      <w:pPr>
        <w:rPr>
          <w:rFonts w:ascii="Verdana" w:hAnsi="Verdana"/>
        </w:rPr>
      </w:pPr>
    </w:p>
    <w:p w14:paraId="5F352061" w14:textId="5D1C21C7" w:rsidR="00176400" w:rsidRPr="005D7976" w:rsidRDefault="007F6966" w:rsidP="005A64DA">
      <w:pPr>
        <w:jc w:val="right"/>
        <w:rPr>
          <w:rFonts w:ascii="Verdana" w:hAnsi="Verdana"/>
        </w:rPr>
      </w:pPr>
      <w:hyperlink w:anchor="_top" w:history="1">
        <w:r w:rsidR="008B69C1" w:rsidRPr="00B0003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61CDDC9D" w14:textId="77777777" w:rsidTr="00A712E6">
        <w:tc>
          <w:tcPr>
            <w:tcW w:w="5000" w:type="pct"/>
            <w:shd w:val="clear" w:color="auto" w:fill="C0C0C0"/>
          </w:tcPr>
          <w:p w14:paraId="14281C2E" w14:textId="77777777" w:rsidR="002C282A" w:rsidRPr="005D7976" w:rsidRDefault="002C282A" w:rsidP="00A614C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0" w:name="_Toc89687172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10"/>
          </w:p>
        </w:tc>
      </w:tr>
    </w:tbl>
    <w:p w14:paraId="31954CF3" w14:textId="73B1261D" w:rsidR="00A712E6" w:rsidRDefault="00A712E6" w:rsidP="00A712E6">
      <w:pPr>
        <w:rPr>
          <w:rFonts w:ascii="Verdana" w:hAnsi="Verdana"/>
        </w:rPr>
      </w:pPr>
      <w:r>
        <w:rPr>
          <w:rFonts w:ascii="Verdana" w:hAnsi="Verdana" w:cs="Verdana"/>
        </w:rPr>
        <w:t xml:space="preserve">Grievance Standard Verbiage (for use in Discussion with Beneficiary) section in </w:t>
      </w:r>
      <w:hyperlink r:id="rId11" w:history="1">
        <w:r w:rsidR="00D2108B">
          <w:rPr>
            <w:rStyle w:val="Hyperlink"/>
            <w:rFonts w:ascii="Verdana" w:hAnsi="Verdana" w:cs="Verdana"/>
          </w:rPr>
          <w:t>MED D - Grievances Index</w:t>
        </w:r>
      </w:hyperlink>
    </w:p>
    <w:p w14:paraId="47B5DEEB" w14:textId="77777777" w:rsidR="00A712E6" w:rsidRDefault="00A712E6" w:rsidP="00A712E6">
      <w:pPr>
        <w:rPr>
          <w:rFonts w:ascii="Verdana" w:hAnsi="Verdana"/>
          <w:b/>
        </w:rPr>
      </w:pPr>
    </w:p>
    <w:p w14:paraId="2735B2A4" w14:textId="77777777" w:rsidR="00A712E6" w:rsidRPr="00A712E6" w:rsidRDefault="00A712E6" w:rsidP="00A712E6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SOP:  </w:t>
      </w:r>
      <w:r>
        <w:rPr>
          <w:rFonts w:ascii="Verdana" w:hAnsi="Verdana"/>
          <w:bCs/>
        </w:rPr>
        <w:t>CALL-0048:</w:t>
      </w:r>
      <w:r>
        <w:rPr>
          <w:rFonts w:ascii="Verdana" w:hAnsi="Verdana"/>
          <w:bCs/>
          <w:color w:val="333333"/>
        </w:rPr>
        <w:t xml:space="preserve">  </w:t>
      </w:r>
      <w:hyperlink r:id="rId12" w:tgtFrame="_blank" w:history="1">
        <w:r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52130C2D" w14:textId="2A7E8347" w:rsidR="00A712E6" w:rsidRDefault="00A712E6" w:rsidP="00A712E6">
      <w:pPr>
        <w:rPr>
          <w:rFonts w:ascii="Verdana" w:hAnsi="Verdana"/>
        </w:rPr>
      </w:pPr>
      <w:r w:rsidRPr="00A712E6">
        <w:rPr>
          <w:rFonts w:ascii="Verdana" w:hAnsi="Verdana"/>
          <w:b/>
        </w:rPr>
        <w:t>Abbreviations/Definitio</w:t>
      </w:r>
      <w:r>
        <w:rPr>
          <w:rFonts w:ascii="Verdana" w:hAnsi="Verdana"/>
          <w:b/>
        </w:rPr>
        <w:t xml:space="preserve">ns:  </w:t>
      </w:r>
      <w:hyperlink r:id="rId13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3FC708F1" w14:textId="77777777" w:rsidR="00E82F09" w:rsidRPr="005D7976" w:rsidRDefault="00E82F09" w:rsidP="002C282A">
      <w:pPr>
        <w:jc w:val="right"/>
        <w:rPr>
          <w:rFonts w:ascii="Verdana" w:hAnsi="Verdana"/>
        </w:rPr>
      </w:pPr>
    </w:p>
    <w:p w14:paraId="51AEE349" w14:textId="7CA1E49F" w:rsidR="00B00032" w:rsidRPr="005D7976" w:rsidRDefault="007F6966" w:rsidP="00B00032">
      <w:pPr>
        <w:jc w:val="right"/>
        <w:rPr>
          <w:rFonts w:ascii="Verdana" w:hAnsi="Verdana"/>
        </w:rPr>
      </w:pPr>
      <w:hyperlink w:anchor="_top" w:history="1">
        <w:r w:rsidR="00B00032" w:rsidRPr="00B00032">
          <w:rPr>
            <w:rStyle w:val="Hyperlink"/>
            <w:rFonts w:ascii="Verdana" w:hAnsi="Verdana"/>
          </w:rPr>
          <w:t>Top of the Document</w:t>
        </w:r>
      </w:hyperlink>
    </w:p>
    <w:p w14:paraId="3D524A47" w14:textId="77777777" w:rsidR="00B13B31" w:rsidRPr="005D7976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18F848B5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080A031A" w14:textId="77777777" w:rsidR="005A64DA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5D7976" w:rsidSect="00F1152F"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D7E4" w14:textId="77777777" w:rsidR="00A42EBA" w:rsidRDefault="00A42EBA">
      <w:r>
        <w:separator/>
      </w:r>
    </w:p>
  </w:endnote>
  <w:endnote w:type="continuationSeparator" w:id="0">
    <w:p w14:paraId="0E829FFE" w14:textId="77777777" w:rsidR="00A42EBA" w:rsidRDefault="00A42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0062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69BED8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EF27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2F95">
      <w:rPr>
        <w:rStyle w:val="PageNumber"/>
        <w:noProof/>
      </w:rPr>
      <w:t>2</w:t>
    </w:r>
    <w:r>
      <w:rPr>
        <w:rStyle w:val="PageNumber"/>
      </w:rPr>
      <w:fldChar w:fldCharType="end"/>
    </w:r>
  </w:p>
  <w:p w14:paraId="52B3508E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CD09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4C40" w14:textId="77777777" w:rsidR="00A42EBA" w:rsidRDefault="00A42EBA">
      <w:r>
        <w:separator/>
      </w:r>
    </w:p>
  </w:footnote>
  <w:footnote w:type="continuationSeparator" w:id="0">
    <w:p w14:paraId="132F3B38" w14:textId="77777777" w:rsidR="00A42EBA" w:rsidRDefault="00A42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EE9FC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E1ED9"/>
    <w:multiLevelType w:val="hybridMultilevel"/>
    <w:tmpl w:val="5FDC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15820"/>
    <w:multiLevelType w:val="hybridMultilevel"/>
    <w:tmpl w:val="43B0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6BDF1555"/>
    <w:multiLevelType w:val="hybridMultilevel"/>
    <w:tmpl w:val="0C5C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691"/>
    <w:multiLevelType w:val="hybridMultilevel"/>
    <w:tmpl w:val="FDB4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A4C99"/>
    <w:multiLevelType w:val="multilevel"/>
    <w:tmpl w:val="7826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207955">
    <w:abstractNumId w:val="0"/>
  </w:num>
  <w:num w:numId="2" w16cid:durableId="102498642">
    <w:abstractNumId w:val="2"/>
  </w:num>
  <w:num w:numId="3" w16cid:durableId="724060909">
    <w:abstractNumId w:val="4"/>
  </w:num>
  <w:num w:numId="4" w16cid:durableId="1819690904">
    <w:abstractNumId w:val="7"/>
  </w:num>
  <w:num w:numId="5" w16cid:durableId="1662350655">
    <w:abstractNumId w:val="6"/>
  </w:num>
  <w:num w:numId="6" w16cid:durableId="801188585">
    <w:abstractNumId w:val="1"/>
  </w:num>
  <w:num w:numId="7" w16cid:durableId="107820837">
    <w:abstractNumId w:val="3"/>
  </w:num>
  <w:num w:numId="8" w16cid:durableId="1438406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AD2"/>
    <w:rsid w:val="00080B09"/>
    <w:rsid w:val="000820B7"/>
    <w:rsid w:val="0008665F"/>
    <w:rsid w:val="00095AB5"/>
    <w:rsid w:val="000A0521"/>
    <w:rsid w:val="000A6B88"/>
    <w:rsid w:val="000B3C4C"/>
    <w:rsid w:val="000B656F"/>
    <w:rsid w:val="000B690E"/>
    <w:rsid w:val="000B72DF"/>
    <w:rsid w:val="000D1870"/>
    <w:rsid w:val="000D6714"/>
    <w:rsid w:val="000F0D1B"/>
    <w:rsid w:val="000F4459"/>
    <w:rsid w:val="00115944"/>
    <w:rsid w:val="001212D7"/>
    <w:rsid w:val="0012373E"/>
    <w:rsid w:val="00131C32"/>
    <w:rsid w:val="001360A5"/>
    <w:rsid w:val="0014131D"/>
    <w:rsid w:val="001467DF"/>
    <w:rsid w:val="001560C4"/>
    <w:rsid w:val="0016273A"/>
    <w:rsid w:val="00176400"/>
    <w:rsid w:val="00193EFA"/>
    <w:rsid w:val="001B3879"/>
    <w:rsid w:val="001C1703"/>
    <w:rsid w:val="001F1218"/>
    <w:rsid w:val="002016B4"/>
    <w:rsid w:val="002055CF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282A"/>
    <w:rsid w:val="002E58AD"/>
    <w:rsid w:val="002F1F92"/>
    <w:rsid w:val="00312690"/>
    <w:rsid w:val="0033143E"/>
    <w:rsid w:val="003725A1"/>
    <w:rsid w:val="003868A2"/>
    <w:rsid w:val="00392A5B"/>
    <w:rsid w:val="003A4930"/>
    <w:rsid w:val="003A6D70"/>
    <w:rsid w:val="003B1F86"/>
    <w:rsid w:val="003C4627"/>
    <w:rsid w:val="003E6C1A"/>
    <w:rsid w:val="003E7873"/>
    <w:rsid w:val="0040640A"/>
    <w:rsid w:val="00406DB5"/>
    <w:rsid w:val="0042336D"/>
    <w:rsid w:val="00430E7B"/>
    <w:rsid w:val="00443F8C"/>
    <w:rsid w:val="00457EAE"/>
    <w:rsid w:val="0046239E"/>
    <w:rsid w:val="004646E4"/>
    <w:rsid w:val="004768BE"/>
    <w:rsid w:val="00477F73"/>
    <w:rsid w:val="0048355A"/>
    <w:rsid w:val="004B719C"/>
    <w:rsid w:val="004D3C53"/>
    <w:rsid w:val="00512486"/>
    <w:rsid w:val="005137EA"/>
    <w:rsid w:val="0052465B"/>
    <w:rsid w:val="00524CDD"/>
    <w:rsid w:val="00556667"/>
    <w:rsid w:val="00560FBE"/>
    <w:rsid w:val="00582E85"/>
    <w:rsid w:val="005910B5"/>
    <w:rsid w:val="005A6118"/>
    <w:rsid w:val="005A64DA"/>
    <w:rsid w:val="005B4E1E"/>
    <w:rsid w:val="005C1D83"/>
    <w:rsid w:val="005D7976"/>
    <w:rsid w:val="005E650E"/>
    <w:rsid w:val="00622D77"/>
    <w:rsid w:val="00625170"/>
    <w:rsid w:val="00627F34"/>
    <w:rsid w:val="00636B18"/>
    <w:rsid w:val="00637CA1"/>
    <w:rsid w:val="0064267B"/>
    <w:rsid w:val="00666848"/>
    <w:rsid w:val="00667363"/>
    <w:rsid w:val="00674A16"/>
    <w:rsid w:val="006827F3"/>
    <w:rsid w:val="00691E10"/>
    <w:rsid w:val="006A0481"/>
    <w:rsid w:val="006C653F"/>
    <w:rsid w:val="006C701A"/>
    <w:rsid w:val="006D0A7B"/>
    <w:rsid w:val="006F565C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45690"/>
    <w:rsid w:val="00752801"/>
    <w:rsid w:val="00765D11"/>
    <w:rsid w:val="007747B8"/>
    <w:rsid w:val="00785118"/>
    <w:rsid w:val="00786BEB"/>
    <w:rsid w:val="00794A65"/>
    <w:rsid w:val="007C77DD"/>
    <w:rsid w:val="007E3EA6"/>
    <w:rsid w:val="007F6966"/>
    <w:rsid w:val="008042E1"/>
    <w:rsid w:val="00804D63"/>
    <w:rsid w:val="00806B9D"/>
    <w:rsid w:val="00812777"/>
    <w:rsid w:val="00835473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8E2ED8"/>
    <w:rsid w:val="009027C9"/>
    <w:rsid w:val="00902E07"/>
    <w:rsid w:val="0091097B"/>
    <w:rsid w:val="00915690"/>
    <w:rsid w:val="00947783"/>
    <w:rsid w:val="00954FE8"/>
    <w:rsid w:val="009726E0"/>
    <w:rsid w:val="00975003"/>
    <w:rsid w:val="00990822"/>
    <w:rsid w:val="00992E77"/>
    <w:rsid w:val="0099415F"/>
    <w:rsid w:val="009C4A31"/>
    <w:rsid w:val="009E4406"/>
    <w:rsid w:val="009F64F1"/>
    <w:rsid w:val="009F6FD2"/>
    <w:rsid w:val="009F78D3"/>
    <w:rsid w:val="00A42EBA"/>
    <w:rsid w:val="00A4732A"/>
    <w:rsid w:val="00A62CC6"/>
    <w:rsid w:val="00A712E6"/>
    <w:rsid w:val="00A7166B"/>
    <w:rsid w:val="00A83BA0"/>
    <w:rsid w:val="00A84F18"/>
    <w:rsid w:val="00A85045"/>
    <w:rsid w:val="00A8583E"/>
    <w:rsid w:val="00A95738"/>
    <w:rsid w:val="00A97B7D"/>
    <w:rsid w:val="00AA4825"/>
    <w:rsid w:val="00AB33E1"/>
    <w:rsid w:val="00AD1646"/>
    <w:rsid w:val="00AD30F1"/>
    <w:rsid w:val="00AF038B"/>
    <w:rsid w:val="00B00032"/>
    <w:rsid w:val="00B13B31"/>
    <w:rsid w:val="00B26045"/>
    <w:rsid w:val="00B44C55"/>
    <w:rsid w:val="00B46A95"/>
    <w:rsid w:val="00B47184"/>
    <w:rsid w:val="00B544C2"/>
    <w:rsid w:val="00B5566F"/>
    <w:rsid w:val="00B64BE7"/>
    <w:rsid w:val="00B70CC4"/>
    <w:rsid w:val="00BA2F95"/>
    <w:rsid w:val="00BB02DE"/>
    <w:rsid w:val="00BB0428"/>
    <w:rsid w:val="00BB371A"/>
    <w:rsid w:val="00BD05BE"/>
    <w:rsid w:val="00BD7B25"/>
    <w:rsid w:val="00BE1AFF"/>
    <w:rsid w:val="00BF6B5A"/>
    <w:rsid w:val="00BF74E9"/>
    <w:rsid w:val="00C0030C"/>
    <w:rsid w:val="00C247CB"/>
    <w:rsid w:val="00C25830"/>
    <w:rsid w:val="00C360BD"/>
    <w:rsid w:val="00C476E1"/>
    <w:rsid w:val="00C52E77"/>
    <w:rsid w:val="00C566B3"/>
    <w:rsid w:val="00C63A4B"/>
    <w:rsid w:val="00C65249"/>
    <w:rsid w:val="00C67B32"/>
    <w:rsid w:val="00C729E0"/>
    <w:rsid w:val="00C75C83"/>
    <w:rsid w:val="00C9655B"/>
    <w:rsid w:val="00CB0C1D"/>
    <w:rsid w:val="00CC28DA"/>
    <w:rsid w:val="00CC5AA2"/>
    <w:rsid w:val="00CC721A"/>
    <w:rsid w:val="00CD0963"/>
    <w:rsid w:val="00CE3D42"/>
    <w:rsid w:val="00CE53E6"/>
    <w:rsid w:val="00CF5CC0"/>
    <w:rsid w:val="00CF6131"/>
    <w:rsid w:val="00D06EAA"/>
    <w:rsid w:val="00D2108B"/>
    <w:rsid w:val="00D36733"/>
    <w:rsid w:val="00D471B5"/>
    <w:rsid w:val="00D571DB"/>
    <w:rsid w:val="00D6774D"/>
    <w:rsid w:val="00D70672"/>
    <w:rsid w:val="00D75191"/>
    <w:rsid w:val="00D80929"/>
    <w:rsid w:val="00D85254"/>
    <w:rsid w:val="00DC4FFC"/>
    <w:rsid w:val="00DE61AB"/>
    <w:rsid w:val="00DF6BE4"/>
    <w:rsid w:val="00DF74C1"/>
    <w:rsid w:val="00E15767"/>
    <w:rsid w:val="00E157BC"/>
    <w:rsid w:val="00E427EA"/>
    <w:rsid w:val="00E50E4A"/>
    <w:rsid w:val="00E645B6"/>
    <w:rsid w:val="00E82F09"/>
    <w:rsid w:val="00E91F5F"/>
    <w:rsid w:val="00EA6F59"/>
    <w:rsid w:val="00EB12DD"/>
    <w:rsid w:val="00EB153E"/>
    <w:rsid w:val="00EB57EB"/>
    <w:rsid w:val="00EC4C88"/>
    <w:rsid w:val="00ED50CF"/>
    <w:rsid w:val="00F1152F"/>
    <w:rsid w:val="00F207B3"/>
    <w:rsid w:val="00F5486B"/>
    <w:rsid w:val="00F561CD"/>
    <w:rsid w:val="00F658E0"/>
    <w:rsid w:val="00F859B7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D8C034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character" w:customStyle="1" w:styleId="field">
    <w:name w:val="field"/>
    <w:basedOn w:val="DefaultParagraphFont"/>
    <w:rsid w:val="00560FBE"/>
  </w:style>
  <w:style w:type="character" w:customStyle="1" w:styleId="embedded-entity">
    <w:name w:val="embedded-entity"/>
    <w:basedOn w:val="DefaultParagraphFont"/>
    <w:rsid w:val="00560FBE"/>
  </w:style>
  <w:style w:type="paragraph" w:styleId="ListParagraph">
    <w:name w:val="List Paragraph"/>
    <w:basedOn w:val="Normal"/>
    <w:uiPriority w:val="34"/>
    <w:qFormat/>
    <w:rsid w:val="004646E4"/>
    <w:pPr>
      <w:ind w:left="720"/>
      <w:contextualSpacing/>
    </w:pPr>
  </w:style>
  <w:style w:type="character" w:styleId="CommentReference">
    <w:name w:val="annotation reference"/>
    <w:basedOn w:val="DefaultParagraphFont"/>
    <w:rsid w:val="008E2E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E2E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E2ED8"/>
  </w:style>
  <w:style w:type="paragraph" w:styleId="CommentSubject">
    <w:name w:val="annotation subject"/>
    <w:basedOn w:val="CommentText"/>
    <w:next w:val="CommentText"/>
    <w:link w:val="CommentSubjectChar"/>
    <w:rsid w:val="008E2E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E2ED8"/>
    <w:rPr>
      <w:b/>
      <w:bCs/>
    </w:rPr>
  </w:style>
  <w:style w:type="paragraph" w:styleId="BalloonText">
    <w:name w:val="Balloon Text"/>
    <w:basedOn w:val="Normal"/>
    <w:link w:val="BalloonTextChar"/>
    <w:rsid w:val="008E2E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E2ED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E44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MS-PCP1-018616" TargetMode="External"/><Relationship Id="rId13" Type="http://schemas.openxmlformats.org/officeDocument/2006/relationships/hyperlink" Target="CMS-2-01742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licy.corp.cvscaremark.com/pnp/faces/SecureDocRenderer?documentId=CALL-0048&amp;uid=pnpdev1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SRC-PROD-00793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CMS-PCP1-02688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MS-PCP1-040036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935EF-497E-485C-959C-EB60067F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582</Words>
  <Characters>3101</Characters>
  <Application>Microsoft Office Word</Application>
  <DocSecurity>4</DocSecurity>
  <Lines>72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3663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2007-01-03T15:56:00Z</cp:lastPrinted>
  <dcterms:created xsi:type="dcterms:W3CDTF">2023-05-10T17:28:00Z</dcterms:created>
  <dcterms:modified xsi:type="dcterms:W3CDTF">2023-05-10T17:28:00Z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2021-12-06T17:45:37Z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060eac4a-a65c-4870-aba4-a96ecdf83114</vt:lpwstr>
  </property>
  <property fmtid="{D5CDD505-2E9C-101B-9397-08002B2CF9AE}" pid="8" name="MSIP_Label_67599526-06ca-49cc-9fa9-5307800a949a_ContentBits">
    <vt:lpwstr>0</vt:lpwstr>
  </property>
</Properties>
</file>