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C9D6" w14:textId="3DA9B87E" w:rsidR="00524CDD" w:rsidRDefault="00EF4EBF" w:rsidP="008167F0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6"/>
      <w:bookmarkEnd w:id="0"/>
      <w:r>
        <w:rPr>
          <w:rFonts w:ascii="Verdana" w:hAnsi="Verdana"/>
          <w:color w:val="auto"/>
          <w:sz w:val="36"/>
          <w:szCs w:val="36"/>
        </w:rPr>
        <w:t xml:space="preserve">Compass </w:t>
      </w:r>
      <w:r w:rsidR="004E799F" w:rsidRPr="008167F0">
        <w:rPr>
          <w:rFonts w:ascii="Verdana" w:hAnsi="Verdana"/>
          <w:color w:val="auto"/>
          <w:sz w:val="36"/>
          <w:szCs w:val="36"/>
        </w:rPr>
        <w:t>MED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r w:rsidR="004E799F" w:rsidRPr="008167F0">
        <w:rPr>
          <w:rFonts w:ascii="Verdana" w:hAnsi="Verdana"/>
          <w:color w:val="auto"/>
          <w:sz w:val="36"/>
          <w:szCs w:val="36"/>
        </w:rPr>
        <w:t>D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r w:rsidR="00CD22A8" w:rsidRPr="008167F0">
        <w:rPr>
          <w:rFonts w:ascii="Verdana" w:hAnsi="Verdana"/>
          <w:color w:val="auto"/>
          <w:sz w:val="36"/>
          <w:szCs w:val="36"/>
        </w:rPr>
        <w:t>-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bookmarkStart w:id="2" w:name="OLE_LINK3"/>
      <w:r w:rsidR="008D46DE" w:rsidRPr="008167F0">
        <w:rPr>
          <w:rFonts w:ascii="Verdana" w:hAnsi="Verdana"/>
          <w:color w:val="auto"/>
          <w:sz w:val="36"/>
          <w:szCs w:val="36"/>
        </w:rPr>
        <w:t>T</w:t>
      </w:r>
      <w:r w:rsidR="00271814" w:rsidRPr="008167F0">
        <w:rPr>
          <w:rFonts w:ascii="Verdana" w:hAnsi="Verdana"/>
          <w:color w:val="auto"/>
          <w:sz w:val="36"/>
          <w:szCs w:val="36"/>
        </w:rPr>
        <w:t>ransition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r w:rsidR="00271814" w:rsidRPr="008167F0">
        <w:rPr>
          <w:rFonts w:ascii="Verdana" w:hAnsi="Verdana"/>
          <w:color w:val="auto"/>
          <w:sz w:val="36"/>
          <w:szCs w:val="36"/>
        </w:rPr>
        <w:t>Fill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bookmarkEnd w:id="2"/>
      <w:r w:rsidR="0001421A" w:rsidRPr="008167F0">
        <w:rPr>
          <w:rFonts w:ascii="Verdana" w:hAnsi="Verdana"/>
          <w:color w:val="auto"/>
          <w:sz w:val="36"/>
          <w:szCs w:val="36"/>
        </w:rPr>
        <w:t>Care</w:t>
      </w:r>
      <w:r w:rsidR="001701B1">
        <w:rPr>
          <w:rFonts w:ascii="Verdana" w:hAnsi="Verdana"/>
          <w:color w:val="auto"/>
          <w:sz w:val="36"/>
          <w:szCs w:val="36"/>
        </w:rPr>
        <w:t xml:space="preserve"> </w:t>
      </w:r>
      <w:r w:rsidR="00196DE7" w:rsidRPr="008167F0">
        <w:rPr>
          <w:rFonts w:ascii="Verdana" w:hAnsi="Verdana"/>
          <w:color w:val="auto"/>
          <w:sz w:val="36"/>
          <w:szCs w:val="36"/>
        </w:rPr>
        <w:t>Processes</w:t>
      </w:r>
    </w:p>
    <w:bookmarkEnd w:id="1"/>
    <w:p w14:paraId="363CE2DF" w14:textId="77777777" w:rsidR="00723C95" w:rsidRPr="00723C95" w:rsidRDefault="00723C95" w:rsidP="00723C95">
      <w:pPr>
        <w:pStyle w:val="Heading4"/>
      </w:pPr>
    </w:p>
    <w:p w14:paraId="6E2979A6" w14:textId="08666B9B" w:rsidR="00F66991" w:rsidRDefault="00C538F0">
      <w:pPr>
        <w:pStyle w:val="TOC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49848628" w:history="1">
        <w:r w:rsidR="00F66991" w:rsidRPr="007A3809">
          <w:rPr>
            <w:rStyle w:val="Hyperlink"/>
            <w:rFonts w:ascii="Verdana" w:hAnsi="Verdana"/>
            <w:noProof/>
          </w:rPr>
          <w:t>General Information</w:t>
        </w:r>
      </w:hyperlink>
    </w:p>
    <w:p w14:paraId="482CC1BA" w14:textId="578144AC" w:rsidR="00F66991" w:rsidRDefault="00F66991">
      <w:pPr>
        <w:pStyle w:val="TOC2"/>
        <w:rPr>
          <w:rFonts w:ascii="Calibri" w:hAnsi="Calibri"/>
          <w:noProof/>
          <w:sz w:val="22"/>
          <w:szCs w:val="22"/>
        </w:rPr>
      </w:pPr>
      <w:hyperlink w:anchor="_Toc149848629" w:history="1">
        <w:r w:rsidRPr="007A3809">
          <w:rPr>
            <w:rStyle w:val="Hyperlink"/>
            <w:rFonts w:ascii="Verdana" w:hAnsi="Verdana"/>
            <w:noProof/>
          </w:rPr>
          <w:t>Transition Fill Letters</w:t>
        </w:r>
      </w:hyperlink>
    </w:p>
    <w:p w14:paraId="7810D01D" w14:textId="1576B01A" w:rsidR="00F66991" w:rsidRDefault="00F66991">
      <w:pPr>
        <w:pStyle w:val="TOC2"/>
        <w:rPr>
          <w:rFonts w:ascii="Calibri" w:hAnsi="Calibri"/>
          <w:noProof/>
          <w:sz w:val="22"/>
          <w:szCs w:val="22"/>
        </w:rPr>
      </w:pPr>
      <w:hyperlink w:anchor="_Toc149848630" w:history="1">
        <w:r w:rsidRPr="007A3809">
          <w:rPr>
            <w:rStyle w:val="Hyperlink"/>
            <w:rFonts w:ascii="Verdana" w:hAnsi="Verdana"/>
            <w:noProof/>
          </w:rPr>
          <w:t>Transition Fill Process</w:t>
        </w:r>
      </w:hyperlink>
    </w:p>
    <w:p w14:paraId="380CD6AE" w14:textId="30915B4A" w:rsidR="00F66991" w:rsidRDefault="00F66991">
      <w:pPr>
        <w:pStyle w:val="TOC2"/>
        <w:rPr>
          <w:rFonts w:ascii="Calibri" w:hAnsi="Calibri"/>
          <w:noProof/>
          <w:sz w:val="22"/>
          <w:szCs w:val="22"/>
        </w:rPr>
      </w:pPr>
      <w:hyperlink w:anchor="_Toc149848631" w:history="1">
        <w:r w:rsidRPr="007A3809">
          <w:rPr>
            <w:rStyle w:val="Hyperlink"/>
            <w:rFonts w:ascii="Verdana" w:hAnsi="Verdana"/>
            <w:noProof/>
          </w:rPr>
          <w:t>Transition Fill - Cost</w:t>
        </w:r>
      </w:hyperlink>
    </w:p>
    <w:p w14:paraId="5F94ABA6" w14:textId="5340E220" w:rsidR="00F66991" w:rsidRDefault="00F66991">
      <w:pPr>
        <w:pStyle w:val="TOC2"/>
        <w:rPr>
          <w:rFonts w:ascii="Calibri" w:hAnsi="Calibri"/>
          <w:noProof/>
          <w:sz w:val="22"/>
          <w:szCs w:val="22"/>
        </w:rPr>
      </w:pPr>
      <w:hyperlink w:anchor="_Toc149848632" w:history="1">
        <w:r w:rsidRPr="007A3809">
          <w:rPr>
            <w:rStyle w:val="Hyperlink"/>
            <w:rFonts w:ascii="Verdana" w:hAnsi="Verdana"/>
            <w:noProof/>
          </w:rPr>
          <w:t>Transition Fills (EGWP)</w:t>
        </w:r>
      </w:hyperlink>
    </w:p>
    <w:p w14:paraId="6589E25C" w14:textId="740A304B" w:rsidR="00F66991" w:rsidRDefault="00F66991">
      <w:pPr>
        <w:pStyle w:val="TOC2"/>
        <w:rPr>
          <w:rFonts w:ascii="Calibri" w:hAnsi="Calibri"/>
          <w:noProof/>
          <w:sz w:val="22"/>
          <w:szCs w:val="22"/>
        </w:rPr>
      </w:pPr>
      <w:hyperlink w:anchor="_Toc149848633" w:history="1">
        <w:r w:rsidRPr="007A3809">
          <w:rPr>
            <w:rStyle w:val="Hyperlink"/>
            <w:rFonts w:ascii="Verdana" w:hAnsi="Verdana"/>
            <w:noProof/>
          </w:rPr>
          <w:t>Transition Fill Coding on the Medicare Part Tab Within Claim Details</w:t>
        </w:r>
      </w:hyperlink>
    </w:p>
    <w:p w14:paraId="75BDC234" w14:textId="7BCBF925" w:rsidR="00F66991" w:rsidRDefault="00F66991">
      <w:pPr>
        <w:pStyle w:val="TOC2"/>
        <w:rPr>
          <w:rFonts w:ascii="Calibri" w:hAnsi="Calibri"/>
          <w:noProof/>
          <w:sz w:val="22"/>
          <w:szCs w:val="22"/>
        </w:rPr>
      </w:pPr>
      <w:hyperlink w:anchor="_Toc149848634" w:history="1">
        <w:r w:rsidRPr="007A3809">
          <w:rPr>
            <w:rStyle w:val="Hyperlink"/>
            <w:rFonts w:ascii="Verdana" w:hAnsi="Verdana"/>
            <w:noProof/>
          </w:rPr>
          <w:t>Transition Fills Scenario Guide</w:t>
        </w:r>
      </w:hyperlink>
    </w:p>
    <w:p w14:paraId="0BD03C7B" w14:textId="406BC3B0" w:rsidR="00F66991" w:rsidRDefault="00F66991">
      <w:pPr>
        <w:pStyle w:val="TOC2"/>
        <w:rPr>
          <w:rFonts w:ascii="Calibri" w:hAnsi="Calibri"/>
          <w:noProof/>
          <w:sz w:val="22"/>
          <w:szCs w:val="22"/>
        </w:rPr>
      </w:pPr>
      <w:hyperlink w:anchor="_Toc149848635" w:history="1">
        <w:r w:rsidRPr="007A3809">
          <w:rPr>
            <w:rStyle w:val="Hyperlink"/>
            <w:rFonts w:ascii="Verdana" w:hAnsi="Verdana"/>
            <w:noProof/>
          </w:rPr>
          <w:t>FAQs</w:t>
        </w:r>
      </w:hyperlink>
    </w:p>
    <w:p w14:paraId="4EACEA43" w14:textId="6CBE0517" w:rsidR="00F66991" w:rsidRDefault="00F66991">
      <w:pPr>
        <w:pStyle w:val="TOC2"/>
        <w:rPr>
          <w:rFonts w:ascii="Calibri" w:hAnsi="Calibri"/>
          <w:noProof/>
          <w:sz w:val="22"/>
          <w:szCs w:val="22"/>
        </w:rPr>
      </w:pPr>
      <w:hyperlink w:anchor="_Toc149848636" w:history="1">
        <w:r w:rsidRPr="007A3809">
          <w:rPr>
            <w:rStyle w:val="Hyperlink"/>
            <w:rFonts w:ascii="Verdana" w:hAnsi="Verdana"/>
            <w:noProof/>
          </w:rPr>
          <w:t>Related Documents</w:t>
        </w:r>
      </w:hyperlink>
    </w:p>
    <w:p w14:paraId="43C11DBF" w14:textId="5AA3F34A" w:rsidR="00C21C7F" w:rsidRPr="000B6501" w:rsidRDefault="00C538F0" w:rsidP="001E5302">
      <w:pPr>
        <w:rPr>
          <w:rFonts w:ascii="Verdana" w:hAnsi="Verdana"/>
        </w:rPr>
      </w:pPr>
      <w:r>
        <w:fldChar w:fldCharType="end"/>
      </w:r>
    </w:p>
    <w:p w14:paraId="629EFE54" w14:textId="77777777" w:rsidR="000B6501" w:rsidRPr="000B6501" w:rsidRDefault="000B6501" w:rsidP="001E5302">
      <w:pPr>
        <w:rPr>
          <w:rFonts w:ascii="Verdana" w:hAnsi="Verdana"/>
        </w:rPr>
      </w:pPr>
    </w:p>
    <w:p w14:paraId="088FC379" w14:textId="77777777" w:rsidR="000B6501" w:rsidRDefault="000B6501" w:rsidP="001E5302">
      <w:pPr>
        <w:rPr>
          <w:rFonts w:ascii="Verdana" w:hAnsi="Verdana"/>
        </w:rPr>
      </w:pPr>
      <w:r w:rsidRPr="000B6501">
        <w:rPr>
          <w:rFonts w:ascii="Verdana" w:hAnsi="Verdana"/>
          <w:b/>
          <w:bCs/>
        </w:rPr>
        <w:t>Description:</w:t>
      </w:r>
      <w:r w:rsidRPr="000B6501">
        <w:rPr>
          <w:rFonts w:ascii="Verdana" w:hAnsi="Verdana"/>
        </w:rPr>
        <w:t xml:space="preserve">  </w:t>
      </w:r>
      <w:bookmarkStart w:id="3" w:name="OLE_LINK7"/>
      <w:r w:rsidRPr="000B6501">
        <w:rPr>
          <w:rFonts w:ascii="Verdana" w:hAnsi="Verdana"/>
        </w:rPr>
        <w:t xml:space="preserve">This document provides </w:t>
      </w:r>
      <w:r>
        <w:rPr>
          <w:rFonts w:ascii="Verdana" w:hAnsi="Verdana"/>
        </w:rPr>
        <w:t>the steps</w:t>
      </w:r>
      <w:r w:rsidRPr="000B6501">
        <w:rPr>
          <w:rFonts w:ascii="Verdana" w:hAnsi="Verdana"/>
        </w:rPr>
        <w:t xml:space="preserve"> to assist a beneficiary with a </w:t>
      </w:r>
      <w:r>
        <w:rPr>
          <w:rFonts w:ascii="Verdana" w:hAnsi="Verdana"/>
        </w:rPr>
        <w:t xml:space="preserve">call regarding </w:t>
      </w:r>
      <w:r w:rsidRPr="000B6501">
        <w:rPr>
          <w:rFonts w:ascii="Verdana" w:hAnsi="Verdana"/>
        </w:rPr>
        <w:t>Transition Fill</w:t>
      </w:r>
      <w:r>
        <w:rPr>
          <w:rFonts w:ascii="Verdana" w:hAnsi="Verdana"/>
        </w:rPr>
        <w:t>s</w:t>
      </w:r>
      <w:bookmarkEnd w:id="3"/>
      <w:r>
        <w:rPr>
          <w:rFonts w:ascii="Verdana" w:hAnsi="Verdana"/>
        </w:rPr>
        <w:t>.</w:t>
      </w:r>
    </w:p>
    <w:p w14:paraId="5F534C30" w14:textId="77777777" w:rsidR="000B6501" w:rsidRPr="000B6501" w:rsidRDefault="000B6501" w:rsidP="001E5302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8167F0" w14:paraId="78DA0590" w14:textId="77777777" w:rsidTr="001E5302">
        <w:tc>
          <w:tcPr>
            <w:tcW w:w="5000" w:type="pct"/>
            <w:shd w:val="clear" w:color="auto" w:fill="C0C0C0"/>
          </w:tcPr>
          <w:p w14:paraId="199EB6DD" w14:textId="77777777" w:rsidR="00806B9D" w:rsidRPr="00121E7C" w:rsidRDefault="000B6501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4" w:name="_Toc149848628"/>
            <w:r>
              <w:rPr>
                <w:rFonts w:ascii="Verdana" w:hAnsi="Verdana"/>
                <w:i w:val="0"/>
              </w:rPr>
              <w:t>General Information</w:t>
            </w:r>
            <w:bookmarkEnd w:id="4"/>
          </w:p>
        </w:tc>
      </w:tr>
    </w:tbl>
    <w:p w14:paraId="5F1457E0" w14:textId="77777777" w:rsidR="00260C10" w:rsidRPr="008167F0" w:rsidRDefault="00260C10" w:rsidP="008167F0">
      <w:p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The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purpose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of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this</w:t>
      </w:r>
      <w:r w:rsidR="001701B1">
        <w:rPr>
          <w:rFonts w:ascii="Verdana" w:hAnsi="Verdana" w:cs="Arial"/>
        </w:rPr>
        <w:t xml:space="preserve"> </w:t>
      </w:r>
      <w:r w:rsidR="00C01591">
        <w:rPr>
          <w:rFonts w:ascii="Verdana" w:hAnsi="Verdana" w:cs="Arial"/>
        </w:rPr>
        <w:t>T</w:t>
      </w:r>
      <w:r w:rsidRPr="008167F0">
        <w:rPr>
          <w:rFonts w:ascii="Verdana" w:hAnsi="Verdana" w:cs="Arial"/>
        </w:rPr>
        <w:t>ransition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policy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is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allow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beneficiaries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transition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from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their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current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formulary/drug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coverage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</w:t>
      </w:r>
      <w:r w:rsidR="000A4058" w:rsidRPr="008167F0">
        <w:rPr>
          <w:rFonts w:ascii="Verdana" w:hAnsi="Verdana" w:cs="Arial"/>
        </w:rPr>
        <w:t>ir</w:t>
      </w:r>
      <w:r w:rsidR="001701B1">
        <w:rPr>
          <w:rFonts w:ascii="Verdana" w:hAnsi="Verdana" w:cs="Arial"/>
        </w:rPr>
        <w:t xml:space="preserve"> </w:t>
      </w:r>
      <w:r w:rsidR="000A4058" w:rsidRPr="008167F0">
        <w:rPr>
          <w:rFonts w:ascii="Verdana" w:hAnsi="Verdana" w:cs="Arial"/>
        </w:rPr>
        <w:t>new</w:t>
      </w:r>
      <w:r w:rsidR="001701B1">
        <w:rPr>
          <w:rFonts w:ascii="Verdana" w:hAnsi="Verdana" w:cs="Arial"/>
        </w:rPr>
        <w:t xml:space="preserve"> </w:t>
      </w:r>
      <w:r w:rsidR="001D732E">
        <w:rPr>
          <w:rFonts w:ascii="Verdana" w:hAnsi="Verdana" w:cs="Arial"/>
        </w:rPr>
        <w:t>formulary/drug</w:t>
      </w:r>
      <w:r w:rsidR="001701B1">
        <w:rPr>
          <w:rFonts w:ascii="Verdana" w:hAnsi="Verdana" w:cs="Arial"/>
        </w:rPr>
        <w:t xml:space="preserve"> </w:t>
      </w:r>
      <w:r w:rsidR="001D732E">
        <w:rPr>
          <w:rFonts w:ascii="Verdana" w:hAnsi="Verdana" w:cs="Arial"/>
        </w:rPr>
        <w:t>coverage.</w:t>
      </w:r>
    </w:p>
    <w:p w14:paraId="2A7C223D" w14:textId="77777777" w:rsidR="000A4058" w:rsidRDefault="000A4058" w:rsidP="008167F0">
      <w:pPr>
        <w:autoSpaceDE w:val="0"/>
        <w:autoSpaceDN w:val="0"/>
        <w:adjustRightInd w:val="0"/>
        <w:rPr>
          <w:rFonts w:ascii="Verdana" w:hAnsi="Verdana" w:cs="Arial"/>
        </w:rPr>
      </w:pPr>
    </w:p>
    <w:p w14:paraId="5ED12A60" w14:textId="326E0A9B" w:rsidR="00C20F93" w:rsidRPr="00CE5AC7" w:rsidRDefault="00F510DD" w:rsidP="00C20F93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F52D875" wp14:editId="34FB941E">
            <wp:extent cx="301625" cy="301625"/>
            <wp:effectExtent l="0" t="0" r="3175" b="3175"/>
            <wp:docPr id="457319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F93" w:rsidRPr="00CE5AC7">
        <w:rPr>
          <w:rFonts w:ascii="Verdana" w:hAnsi="Verdana"/>
          <w:color w:val="000000"/>
        </w:rPr>
        <w:t>If a Medicare D beneficiary has: </w:t>
      </w:r>
    </w:p>
    <w:p w14:paraId="19537E7E" w14:textId="77777777" w:rsidR="00C20F93" w:rsidRPr="00CE5AC7" w:rsidRDefault="00C20F93" w:rsidP="00C20F93">
      <w:pPr>
        <w:numPr>
          <w:ilvl w:val="0"/>
          <w:numId w:val="64"/>
        </w:numPr>
        <w:ind w:left="916" w:firstLine="0"/>
        <w:rPr>
          <w:color w:val="000000"/>
        </w:rPr>
      </w:pPr>
      <w:r w:rsidRPr="00CE5AC7">
        <w:rPr>
          <w:rFonts w:ascii="Verdana" w:hAnsi="Verdana"/>
          <w:color w:val="000000"/>
        </w:rPr>
        <w:t>Enrolled in a new plan</w:t>
      </w:r>
    </w:p>
    <w:p w14:paraId="3328648B" w14:textId="77777777" w:rsidR="00C20F93" w:rsidRPr="00CE5AC7" w:rsidRDefault="00C20F93" w:rsidP="00C20F93">
      <w:pPr>
        <w:numPr>
          <w:ilvl w:val="0"/>
          <w:numId w:val="64"/>
        </w:numPr>
        <w:ind w:left="916" w:firstLine="0"/>
        <w:rPr>
          <w:color w:val="000000"/>
        </w:rPr>
      </w:pPr>
      <w:r w:rsidRPr="00CE5AC7">
        <w:rPr>
          <w:rFonts w:ascii="Verdana" w:hAnsi="Verdana"/>
          <w:color w:val="000000"/>
        </w:rPr>
        <w:t>Change in level of care</w:t>
      </w:r>
    </w:p>
    <w:p w14:paraId="2FA5E7E3" w14:textId="77777777" w:rsidR="00C20F93" w:rsidRPr="00CE5AC7" w:rsidRDefault="00C20F93" w:rsidP="00C20F93">
      <w:pPr>
        <w:numPr>
          <w:ilvl w:val="0"/>
          <w:numId w:val="64"/>
        </w:numPr>
        <w:ind w:left="916" w:firstLine="0"/>
        <w:rPr>
          <w:color w:val="000000"/>
        </w:rPr>
      </w:pPr>
      <w:r w:rsidRPr="00CE5AC7">
        <w:rPr>
          <w:rFonts w:ascii="Verdana" w:hAnsi="Verdana"/>
          <w:color w:val="000000"/>
        </w:rPr>
        <w:t>Negative </w:t>
      </w:r>
      <w:proofErr w:type="gramStart"/>
      <w:r w:rsidRPr="00CE5AC7">
        <w:rPr>
          <w:rFonts w:ascii="Verdana" w:hAnsi="Verdana"/>
          <w:color w:val="000000"/>
        </w:rPr>
        <w:t>formulary</w:t>
      </w:r>
      <w:proofErr w:type="gramEnd"/>
      <w:r w:rsidRPr="00CE5AC7">
        <w:rPr>
          <w:rFonts w:ascii="Verdana" w:hAnsi="Verdana"/>
          <w:color w:val="000000"/>
        </w:rPr>
        <w:t> change to their medication</w:t>
      </w:r>
    </w:p>
    <w:p w14:paraId="0ABDBC92" w14:textId="77777777" w:rsidR="00C20F93" w:rsidRPr="00CE5AC7" w:rsidRDefault="00C20F93" w:rsidP="00C20F93">
      <w:pPr>
        <w:numPr>
          <w:ilvl w:val="0"/>
          <w:numId w:val="64"/>
        </w:numPr>
        <w:ind w:left="916" w:firstLine="0"/>
        <w:rPr>
          <w:color w:val="000000"/>
        </w:rPr>
      </w:pPr>
      <w:r w:rsidRPr="00CE5AC7">
        <w:rPr>
          <w:rFonts w:ascii="Verdana" w:hAnsi="Verdana"/>
          <w:color w:val="000000"/>
        </w:rPr>
        <w:t>LTC Level of Care Change or Emergency Supply</w:t>
      </w:r>
    </w:p>
    <w:p w14:paraId="2BF7DCFF" w14:textId="77777777" w:rsidR="00C20F93" w:rsidRPr="00CE5AC7" w:rsidRDefault="00C20F93" w:rsidP="00C20F93">
      <w:pPr>
        <w:ind w:left="360"/>
        <w:rPr>
          <w:color w:val="000000"/>
          <w:sz w:val="27"/>
          <w:szCs w:val="27"/>
        </w:rPr>
      </w:pPr>
      <w:r w:rsidRPr="00CE5AC7">
        <w:rPr>
          <w:rFonts w:ascii="Verdana" w:hAnsi="Verdana"/>
          <w:b/>
          <w:bCs/>
          <w:color w:val="000000"/>
        </w:rPr>
        <w:t> </w:t>
      </w:r>
    </w:p>
    <w:p w14:paraId="5EE5DFB4" w14:textId="77777777" w:rsidR="00C20F93" w:rsidRPr="00EC0C30" w:rsidRDefault="00C20F93" w:rsidP="00B70BE9">
      <w:pPr>
        <w:rPr>
          <w:rFonts w:ascii="Verdana" w:hAnsi="Verdana"/>
          <w:color w:val="000000"/>
        </w:rPr>
      </w:pPr>
      <w:r w:rsidRPr="00EC0C30">
        <w:rPr>
          <w:rFonts w:ascii="Verdana" w:hAnsi="Verdana"/>
          <w:color w:val="000000"/>
        </w:rPr>
        <w:t xml:space="preserve">Medicare D mandates there will be a transition period allowing the beneficiary to receive </w:t>
      </w:r>
      <w:proofErr w:type="gramStart"/>
      <w:r w:rsidRPr="00EC0C30">
        <w:rPr>
          <w:rFonts w:ascii="Verdana" w:hAnsi="Verdana"/>
          <w:color w:val="000000"/>
        </w:rPr>
        <w:t>Non-Formulary</w:t>
      </w:r>
      <w:proofErr w:type="gramEnd"/>
      <w:r w:rsidRPr="00EC0C30">
        <w:rPr>
          <w:rFonts w:ascii="Verdana" w:hAnsi="Verdana"/>
          <w:color w:val="000000"/>
        </w:rPr>
        <w:t xml:space="preserve"> medication(s) or Formulary medication with utilization management requirements (PA, Step Therapy, Quantity Limits) without an interruption of therapy. (</w:t>
      </w:r>
      <w:r w:rsidRPr="00EC0C30">
        <w:rPr>
          <w:rFonts w:ascii="Verdana" w:hAnsi="Verdana"/>
          <w:b/>
          <w:bCs/>
          <w:color w:val="000000"/>
        </w:rPr>
        <w:t xml:space="preserve">TF excluded drugs are any drug that reject 75 or 70) </w:t>
      </w:r>
    </w:p>
    <w:p w14:paraId="33C3D7A8" w14:textId="399AA101" w:rsidR="00C20F93" w:rsidRPr="00EC0C30" w:rsidRDefault="00C20F93" w:rsidP="00C20F93">
      <w:pPr>
        <w:ind w:left="360"/>
        <w:jc w:val="center"/>
        <w:rPr>
          <w:rFonts w:ascii="Verdana" w:hAnsi="Verdana"/>
          <w:color w:val="000000"/>
        </w:rPr>
      </w:pPr>
    </w:p>
    <w:p w14:paraId="50094542" w14:textId="77777777" w:rsidR="00B70BE9" w:rsidRDefault="00B70BE9" w:rsidP="00B70BE9">
      <w:pPr>
        <w:pStyle w:val="NormalWeb"/>
        <w:spacing w:before="0" w:beforeAutospacing="0" w:after="0" w:afterAutospacing="0"/>
        <w:ind w:left="36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Reminder:</w:t>
      </w:r>
      <w:r>
        <w:rPr>
          <w:rFonts w:ascii="Verdana" w:hAnsi="Verdana"/>
          <w:color w:val="000000"/>
        </w:rPr>
        <w:t>  Do Not Create Overrides</w:t>
      </w:r>
    </w:p>
    <w:p w14:paraId="0EB2D02B" w14:textId="77777777" w:rsidR="00B70BE9" w:rsidRDefault="00B70BE9" w:rsidP="00B70BE9">
      <w:pPr>
        <w:pStyle w:val="NormalWeb"/>
        <w:spacing w:before="0" w:beforeAutospacing="0" w:after="0" w:afterAutospacing="0"/>
        <w:ind w:left="36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CCR should never create an override for the follow reject messages: </w:t>
      </w:r>
    </w:p>
    <w:p w14:paraId="7CE8B744" w14:textId="45D96CCC" w:rsidR="00B70BE9" w:rsidRDefault="00B70BE9" w:rsidP="00B70BE9">
      <w:pPr>
        <w:pStyle w:val="NormalWeb"/>
        <w:spacing w:before="0" w:beforeAutospacing="0" w:after="0" w:afterAutospacing="0"/>
        <w:ind w:left="90"/>
        <w:rPr>
          <w:color w:val="000000"/>
          <w:sz w:val="27"/>
          <w:szCs w:val="27"/>
        </w:rPr>
      </w:pPr>
    </w:p>
    <w:p w14:paraId="637742D6" w14:textId="1922432F" w:rsidR="00B70BE9" w:rsidRPr="00B70BE9" w:rsidRDefault="00B70BE9" w:rsidP="00B70BE9">
      <w:pPr>
        <w:pStyle w:val="ListParagraph"/>
        <w:numPr>
          <w:ilvl w:val="0"/>
          <w:numId w:val="70"/>
        </w:numPr>
        <w:ind w:left="1080"/>
        <w:rPr>
          <w:color w:val="000000"/>
          <w:sz w:val="20"/>
          <w:szCs w:val="20"/>
        </w:rPr>
      </w:pPr>
      <w:r w:rsidRPr="00B70BE9">
        <w:rPr>
          <w:rFonts w:ascii="Verdana" w:hAnsi="Verdana"/>
          <w:color w:val="000000"/>
        </w:rPr>
        <w:t>REJECTS WITH MESSAGE Reject </w:t>
      </w:r>
      <w:r w:rsidRPr="00B70BE9">
        <w:rPr>
          <w:rFonts w:ascii="Verdana" w:hAnsi="Verdana"/>
          <w:b/>
          <w:bCs/>
          <w:color w:val="000000"/>
        </w:rPr>
        <w:t>75 Prior Authorization</w:t>
      </w:r>
      <w:r w:rsidRPr="00B70BE9">
        <w:rPr>
          <w:rFonts w:ascii="Verdana" w:hAnsi="Verdana"/>
          <w:color w:val="000000"/>
        </w:rPr>
        <w:t> Required and A6 “</w:t>
      </w:r>
      <w:r w:rsidRPr="00B70BE9">
        <w:rPr>
          <w:rFonts w:ascii="Verdana" w:hAnsi="Verdana"/>
          <w:b/>
          <w:bCs/>
          <w:color w:val="000000"/>
        </w:rPr>
        <w:t>PART B</w:t>
      </w:r>
      <w:r w:rsidRPr="00B70BE9">
        <w:rPr>
          <w:rFonts w:ascii="Verdana" w:hAnsi="Verdana"/>
          <w:color w:val="000000"/>
        </w:rPr>
        <w:t> vs D DETERMINATION REQUIRED, CALL PA or transfer to the number in the reject message or </w:t>
      </w:r>
      <w:r w:rsidRPr="00B70BE9">
        <w:rPr>
          <w:rFonts w:ascii="Verdana" w:hAnsi="Verdana"/>
          <w:color w:val="000000"/>
          <w:spacing w:val="2"/>
        </w:rPr>
        <w:t>A4 &lt;&lt;This Product May Be Covered Under the </w:t>
      </w:r>
      <w:r w:rsidRPr="00B70BE9">
        <w:rPr>
          <w:rFonts w:ascii="Verdana" w:hAnsi="Verdana"/>
          <w:b/>
          <w:bCs/>
          <w:color w:val="000000"/>
          <w:spacing w:val="2"/>
        </w:rPr>
        <w:t>Medicare B Bundled Payment to an ESRD</w:t>
      </w:r>
      <w:r w:rsidRPr="00B70BE9">
        <w:rPr>
          <w:rFonts w:ascii="Verdana" w:hAnsi="Verdana"/>
          <w:color w:val="000000"/>
          <w:spacing w:val="2"/>
        </w:rPr>
        <w:t> Dialysis Facility&gt;&gt; &lt;&lt;Part B vs. D: To Resolve RPh call XXX-XXX-XXXX&gt;&gt; or A3 &lt;&lt;This Product May Be Covered Under </w:t>
      </w:r>
      <w:r w:rsidRPr="00B70BE9">
        <w:rPr>
          <w:rFonts w:ascii="Verdana" w:hAnsi="Verdana"/>
          <w:b/>
          <w:bCs/>
          <w:color w:val="000000"/>
          <w:spacing w:val="2"/>
        </w:rPr>
        <w:t>Hospice – Medicare A</w:t>
      </w:r>
      <w:r w:rsidRPr="00B70BE9">
        <w:rPr>
          <w:rFonts w:ascii="Verdana" w:hAnsi="Verdana"/>
          <w:color w:val="000000"/>
          <w:spacing w:val="2"/>
        </w:rPr>
        <w:t>&gt;&gt;</w:t>
      </w:r>
    </w:p>
    <w:p w14:paraId="714C06B2" w14:textId="77777777" w:rsidR="00B70BE9" w:rsidRDefault="00B70BE9" w:rsidP="00B70BE9">
      <w:pPr>
        <w:pStyle w:val="NormalWeb"/>
        <w:numPr>
          <w:ilvl w:val="1"/>
          <w:numId w:val="70"/>
        </w:numPr>
        <w:spacing w:before="0" w:beforeAutospacing="0" w:after="0" w:afterAutospacing="0"/>
        <w:ind w:left="180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Examples of B vs D:  NEBULIZATIONS FOR INHALERS</w:t>
      </w:r>
      <w:r>
        <w:rPr>
          <w:rFonts w:ascii="Verdana" w:hAnsi="Verdana"/>
          <w:b/>
          <w:bCs/>
          <w:color w:val="000000"/>
        </w:rPr>
        <w:t> and </w:t>
      </w:r>
      <w:r>
        <w:rPr>
          <w:rFonts w:ascii="Verdana" w:hAnsi="Verdana"/>
          <w:color w:val="000000"/>
        </w:rPr>
        <w:t>TRANSPLANT DRUGS SUCH AS CELLCEPT</w:t>
      </w:r>
    </w:p>
    <w:p w14:paraId="0CA9DDA4" w14:textId="4F989736" w:rsidR="00B70BE9" w:rsidRDefault="00B70BE9" w:rsidP="00B70BE9">
      <w:pPr>
        <w:pStyle w:val="NormalWeb"/>
        <w:spacing w:before="0" w:beforeAutospacing="0" w:after="0" w:afterAutospacing="0"/>
        <w:ind w:left="450"/>
        <w:rPr>
          <w:color w:val="000000"/>
          <w:sz w:val="27"/>
          <w:szCs w:val="27"/>
        </w:rPr>
      </w:pPr>
    </w:p>
    <w:p w14:paraId="6BA8A388" w14:textId="06F2EDAF" w:rsidR="00B70BE9" w:rsidRPr="00B70BE9" w:rsidRDefault="00B70BE9" w:rsidP="00B70BE9">
      <w:pPr>
        <w:pStyle w:val="ListParagraph"/>
        <w:numPr>
          <w:ilvl w:val="0"/>
          <w:numId w:val="70"/>
        </w:numPr>
        <w:ind w:left="1080"/>
        <w:rPr>
          <w:color w:val="000000"/>
          <w:sz w:val="20"/>
          <w:szCs w:val="20"/>
        </w:rPr>
      </w:pPr>
      <w:r w:rsidRPr="00B70BE9">
        <w:rPr>
          <w:rFonts w:ascii="Verdana" w:hAnsi="Verdana"/>
          <w:color w:val="000000"/>
        </w:rPr>
        <w:t>REJECTS WITH MESSAGE Reject 70 “NOT COVERED, </w:t>
      </w:r>
      <w:r w:rsidRPr="00B70BE9">
        <w:rPr>
          <w:rFonts w:ascii="Verdana" w:hAnsi="Verdana"/>
          <w:b/>
          <w:bCs/>
          <w:color w:val="000000"/>
        </w:rPr>
        <w:t>MED D EXCLUSION</w:t>
      </w:r>
      <w:r w:rsidRPr="00B70BE9">
        <w:rPr>
          <w:rFonts w:ascii="Verdana" w:hAnsi="Verdana"/>
          <w:color w:val="000000"/>
        </w:rPr>
        <w:t>”; A5 “NOT COVERED UNDER MED LAW”; or Reject 54 “</w:t>
      </w:r>
      <w:r w:rsidRPr="00B70BE9">
        <w:rPr>
          <w:rFonts w:ascii="Verdana" w:hAnsi="Verdana"/>
          <w:b/>
          <w:bCs/>
          <w:color w:val="000000"/>
        </w:rPr>
        <w:t>NDC Not Registered</w:t>
      </w:r>
      <w:r w:rsidRPr="00B70BE9">
        <w:rPr>
          <w:rFonts w:ascii="Verdana" w:hAnsi="Verdana"/>
          <w:color w:val="000000"/>
        </w:rPr>
        <w:t>; Use Alternative” Examples of Not Covered under Med D Law: DESI DRUGS (SUCH AS XENADERM), BLOOD GLUCOSE TESTING SUPPLIES and ERECTILE DYSFUNCTION DRUGS (SUCH AS VIAGRA</w:t>
      </w:r>
    </w:p>
    <w:p w14:paraId="3F969922" w14:textId="16E687F4" w:rsidR="00B70BE9" w:rsidRDefault="00B70BE9" w:rsidP="00B70BE9">
      <w:pPr>
        <w:pStyle w:val="NormalWeb"/>
        <w:spacing w:before="0" w:beforeAutospacing="0" w:after="0" w:afterAutospacing="0"/>
        <w:ind w:left="435"/>
        <w:rPr>
          <w:color w:val="000000"/>
          <w:sz w:val="27"/>
          <w:szCs w:val="27"/>
        </w:rPr>
      </w:pPr>
    </w:p>
    <w:p w14:paraId="0F7D8997" w14:textId="24FA47DA" w:rsidR="00B70BE9" w:rsidRPr="00B70BE9" w:rsidRDefault="00B70BE9" w:rsidP="00B70BE9">
      <w:pPr>
        <w:pStyle w:val="ListParagraph"/>
        <w:numPr>
          <w:ilvl w:val="0"/>
          <w:numId w:val="70"/>
        </w:numPr>
        <w:ind w:left="1080"/>
        <w:rPr>
          <w:color w:val="000000"/>
          <w:sz w:val="20"/>
          <w:szCs w:val="20"/>
        </w:rPr>
      </w:pPr>
      <w:r w:rsidRPr="00B70BE9">
        <w:rPr>
          <w:rFonts w:ascii="Verdana" w:hAnsi="Verdana"/>
          <w:b/>
          <w:bCs/>
          <w:color w:val="000000"/>
        </w:rPr>
        <w:t>Rejects with message</w:t>
      </w:r>
      <w:r w:rsidRPr="00B70BE9">
        <w:rPr>
          <w:rFonts w:ascii="Verdana" w:hAnsi="Verdana"/>
          <w:color w:val="000000"/>
        </w:rPr>
        <w:t> “PART D DETERMINATION REQUIRED, CALL PA”</w:t>
      </w:r>
    </w:p>
    <w:p w14:paraId="6E0CD7E2" w14:textId="77777777" w:rsidR="00C20F93" w:rsidRDefault="00C20F93" w:rsidP="00B70BE9">
      <w:pPr>
        <w:autoSpaceDE w:val="0"/>
        <w:autoSpaceDN w:val="0"/>
        <w:adjustRightInd w:val="0"/>
        <w:rPr>
          <w:rFonts w:ascii="Verdana" w:hAnsi="Verdana" w:cs="Arial"/>
        </w:rPr>
      </w:pPr>
    </w:p>
    <w:p w14:paraId="3C7EB7EC" w14:textId="77777777" w:rsidR="00C20F93" w:rsidRPr="008167F0" w:rsidRDefault="00C20F93" w:rsidP="008167F0">
      <w:pPr>
        <w:autoSpaceDE w:val="0"/>
        <w:autoSpaceDN w:val="0"/>
        <w:adjustRightInd w:val="0"/>
        <w:rPr>
          <w:rFonts w:ascii="Verdana" w:hAnsi="Verdana" w:cs="Arial"/>
        </w:rPr>
      </w:pPr>
    </w:p>
    <w:p w14:paraId="773A4D48" w14:textId="77777777" w:rsidR="00260C10" w:rsidRPr="008167F0" w:rsidRDefault="00260C10" w:rsidP="008167F0">
      <w:pPr>
        <w:autoSpaceDE w:val="0"/>
        <w:autoSpaceDN w:val="0"/>
        <w:adjustRightInd w:val="0"/>
        <w:rPr>
          <w:rFonts w:ascii="Verdana" w:hAnsi="Verdana" w:cs="Arial"/>
          <w:b/>
        </w:rPr>
      </w:pPr>
      <w:r w:rsidRPr="008167F0">
        <w:rPr>
          <w:rFonts w:ascii="Verdana" w:hAnsi="Verdana" w:cs="Arial"/>
          <w:b/>
        </w:rPr>
        <w:t>This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procedure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applies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to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the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following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for</w:t>
      </w:r>
      <w:r w:rsidR="001701B1">
        <w:rPr>
          <w:rFonts w:ascii="Verdana" w:hAnsi="Verdana" w:cs="Arial"/>
          <w:b/>
        </w:rPr>
        <w:t xml:space="preserve"> </w:t>
      </w:r>
      <w:r w:rsidRPr="008167F0">
        <w:rPr>
          <w:rFonts w:ascii="Verdana" w:hAnsi="Verdana" w:cs="Arial"/>
          <w:b/>
        </w:rPr>
        <w:t>Transition</w:t>
      </w:r>
      <w:r w:rsidR="001701B1">
        <w:rPr>
          <w:rFonts w:ascii="Verdana" w:hAnsi="Verdana" w:cs="Arial"/>
          <w:b/>
        </w:rPr>
        <w:t xml:space="preserve"> </w:t>
      </w:r>
      <w:r w:rsidR="00C21C7F" w:rsidRPr="008167F0">
        <w:rPr>
          <w:rFonts w:ascii="Verdana" w:hAnsi="Verdana" w:cs="Arial"/>
          <w:b/>
        </w:rPr>
        <w:t>Fills</w:t>
      </w:r>
      <w:r w:rsidRPr="008167F0">
        <w:rPr>
          <w:rFonts w:ascii="Verdana" w:hAnsi="Verdana" w:cs="Arial"/>
          <w:b/>
        </w:rPr>
        <w:t>:</w:t>
      </w:r>
      <w:r w:rsidR="001701B1">
        <w:rPr>
          <w:rFonts w:ascii="Verdana" w:hAnsi="Verdana" w:cs="Arial"/>
          <w:b/>
        </w:rPr>
        <w:t xml:space="preserve">  </w:t>
      </w:r>
    </w:p>
    <w:p w14:paraId="12B3BC2B" w14:textId="77777777" w:rsidR="00260C10" w:rsidRPr="008167F0" w:rsidRDefault="00260C10">
      <w:pPr>
        <w:numPr>
          <w:ilvl w:val="0"/>
          <w:numId w:val="42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All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newly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enrolled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beneficiaries</w:t>
      </w:r>
    </w:p>
    <w:p w14:paraId="14467E96" w14:textId="77777777" w:rsidR="00172AF0" w:rsidRPr="008167F0" w:rsidRDefault="00172AF0">
      <w:pPr>
        <w:numPr>
          <w:ilvl w:val="0"/>
          <w:numId w:val="42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Renewing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beneficiaries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who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experience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formulary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change</w:t>
      </w:r>
    </w:p>
    <w:p w14:paraId="6F730679" w14:textId="77777777" w:rsidR="00260C10" w:rsidRPr="008167F0" w:rsidRDefault="00260C10">
      <w:pPr>
        <w:numPr>
          <w:ilvl w:val="0"/>
          <w:numId w:val="42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All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beneficiaries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switching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from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one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plan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another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change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in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their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level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of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care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from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</w:t>
      </w:r>
      <w:r w:rsidR="004E799F" w:rsidRPr="008167F0">
        <w:rPr>
          <w:rFonts w:ascii="Verdana" w:hAnsi="Verdana" w:cs="Arial"/>
        </w:rPr>
        <w:t>ne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treatment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setting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another</w:t>
      </w:r>
    </w:p>
    <w:p w14:paraId="2ACC42D3" w14:textId="77777777" w:rsidR="00260C10" w:rsidRPr="008167F0" w:rsidRDefault="00260C10">
      <w:pPr>
        <w:numPr>
          <w:ilvl w:val="0"/>
          <w:numId w:val="42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All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beneficiaries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relocating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into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Medicare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Part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D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service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area</w:t>
      </w:r>
    </w:p>
    <w:p w14:paraId="792C5DA8" w14:textId="77777777" w:rsidR="00260C10" w:rsidRPr="008167F0" w:rsidRDefault="00260C10">
      <w:pPr>
        <w:numPr>
          <w:ilvl w:val="0"/>
          <w:numId w:val="42"/>
        </w:numPr>
        <w:autoSpaceDE w:val="0"/>
        <w:autoSpaceDN w:val="0"/>
        <w:adjustRightInd w:val="0"/>
        <w:rPr>
          <w:rFonts w:ascii="Verdana" w:hAnsi="Verdana" w:cs="Arial,Bold"/>
          <w:sz w:val="20"/>
          <w:szCs w:val="20"/>
        </w:rPr>
      </w:pPr>
      <w:r w:rsidRPr="008167F0">
        <w:rPr>
          <w:rFonts w:ascii="Verdana" w:hAnsi="Verdana" w:cs="Arial"/>
        </w:rPr>
        <w:t>Auto</w:t>
      </w:r>
      <w:r w:rsidR="009B72CE" w:rsidRPr="008167F0">
        <w:rPr>
          <w:rFonts w:ascii="Verdana" w:hAnsi="Verdana" w:cs="Arial"/>
        </w:rPr>
        <w:t>/Facilitated</w:t>
      </w:r>
      <w:r w:rsidRPr="008167F0">
        <w:rPr>
          <w:rFonts w:ascii="Verdana" w:hAnsi="Verdana" w:cs="Arial"/>
        </w:rPr>
        <w:t>-enrolled</w:t>
      </w:r>
      <w:r w:rsidR="001701B1">
        <w:rPr>
          <w:rFonts w:ascii="Verdana" w:hAnsi="Verdana" w:cs="Arial"/>
        </w:rPr>
        <w:t xml:space="preserve"> </w:t>
      </w:r>
      <w:r w:rsidR="004E799F" w:rsidRPr="008167F0">
        <w:rPr>
          <w:rFonts w:ascii="Verdana" w:hAnsi="Verdana" w:cs="Arial"/>
        </w:rPr>
        <w:t>beneficiaries</w:t>
      </w:r>
    </w:p>
    <w:p w14:paraId="36120166" w14:textId="77777777" w:rsidR="00975200" w:rsidRPr="008167F0" w:rsidRDefault="00975200">
      <w:pPr>
        <w:numPr>
          <w:ilvl w:val="0"/>
          <w:numId w:val="42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transition</w:t>
      </w:r>
      <w:r w:rsidR="001701B1">
        <w:rPr>
          <w:rFonts w:ascii="Verdana" w:hAnsi="Verdana" w:cs="Arial"/>
        </w:rPr>
        <w:t xml:space="preserve"> </w:t>
      </w:r>
      <w:proofErr w:type="gramStart"/>
      <w:r w:rsidRPr="008167F0">
        <w:rPr>
          <w:rFonts w:ascii="Verdana" w:hAnsi="Verdana" w:cs="Arial"/>
        </w:rPr>
        <w:t>fill</w:t>
      </w:r>
      <w:proofErr w:type="gramEnd"/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for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up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30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days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will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be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allowed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for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beneficiar</w:t>
      </w:r>
      <w:r w:rsidR="001807A9">
        <w:rPr>
          <w:rFonts w:ascii="Verdana" w:hAnsi="Verdana" w:cs="Arial"/>
        </w:rPr>
        <w:t>ies</w:t>
      </w:r>
      <w:r w:rsidRPr="008167F0">
        <w:rPr>
          <w:rFonts w:ascii="Verdana" w:hAnsi="Verdana" w:cs="Arial"/>
        </w:rPr>
        <w:t>,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during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first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90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days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of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new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benefit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plan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year</w:t>
      </w:r>
      <w:r w:rsidR="00172AF0" w:rsidRPr="008167F0">
        <w:rPr>
          <w:rFonts w:ascii="Verdana" w:hAnsi="Verdana" w:cs="Arial"/>
        </w:rPr>
        <w:t>,</w:t>
      </w:r>
      <w:r w:rsidR="001701B1">
        <w:t xml:space="preserve"> </w:t>
      </w:r>
      <w:r w:rsidR="003545DC" w:rsidRPr="003545DC">
        <w:rPr>
          <w:rFonts w:ascii="Verdana" w:hAnsi="Verdana" w:cs="Arial"/>
        </w:rPr>
        <w:t>or</w:t>
      </w:r>
      <w:r w:rsidR="001701B1">
        <w:rPr>
          <w:rFonts w:ascii="Verdana" w:hAnsi="Verdana" w:cs="Arial"/>
        </w:rPr>
        <w:t xml:space="preserve"> </w:t>
      </w:r>
      <w:r w:rsidR="003545DC" w:rsidRPr="003545DC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="003545DC" w:rsidRPr="003545DC">
        <w:rPr>
          <w:rFonts w:ascii="Verdana" w:hAnsi="Verdana" w:cs="Arial"/>
        </w:rPr>
        <w:t>beneficiary’s</w:t>
      </w:r>
      <w:r w:rsidR="001701B1">
        <w:rPr>
          <w:rFonts w:ascii="Verdana" w:hAnsi="Verdana" w:cs="Arial"/>
        </w:rPr>
        <w:t xml:space="preserve"> </w:t>
      </w:r>
      <w:r w:rsidR="003545DC" w:rsidRPr="003545DC">
        <w:rPr>
          <w:rFonts w:ascii="Verdana" w:hAnsi="Verdana" w:cs="Arial"/>
        </w:rPr>
        <w:t>enrollment</w:t>
      </w:r>
    </w:p>
    <w:p w14:paraId="6BCC7A32" w14:textId="77777777" w:rsidR="00A0391C" w:rsidRPr="008167F0" w:rsidRDefault="00975200">
      <w:pPr>
        <w:numPr>
          <w:ilvl w:val="0"/>
          <w:numId w:val="42"/>
        </w:numPr>
        <w:autoSpaceDE w:val="0"/>
        <w:autoSpaceDN w:val="0"/>
        <w:adjustRightInd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transition</w:t>
      </w:r>
      <w:r w:rsidR="001701B1">
        <w:rPr>
          <w:rFonts w:ascii="Verdana" w:hAnsi="Verdana" w:cs="Arial"/>
        </w:rPr>
        <w:t xml:space="preserve"> </w:t>
      </w:r>
      <w:proofErr w:type="gramStart"/>
      <w:r w:rsidRPr="008167F0">
        <w:rPr>
          <w:rFonts w:ascii="Verdana" w:hAnsi="Verdana" w:cs="Arial"/>
        </w:rPr>
        <w:t>fill</w:t>
      </w:r>
      <w:proofErr w:type="gramEnd"/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for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up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to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least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="00001093">
        <w:rPr>
          <w:rFonts w:ascii="Verdana" w:hAnsi="Verdana" w:cs="Arial"/>
        </w:rPr>
        <w:t>31</w:t>
      </w:r>
      <w:r w:rsidRPr="008167F0">
        <w:rPr>
          <w:rFonts w:ascii="Verdana" w:hAnsi="Verdana" w:cs="Arial"/>
        </w:rPr>
        <w:t>-day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supply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per</w:t>
      </w:r>
      <w:r w:rsidR="001701B1">
        <w:rPr>
          <w:rFonts w:ascii="Verdana" w:hAnsi="Verdana" w:cs="Arial"/>
        </w:rPr>
        <w:t xml:space="preserve"> </w:t>
      </w:r>
      <w:r w:rsidR="00172AF0" w:rsidRPr="008167F0">
        <w:rPr>
          <w:rFonts w:ascii="Verdana" w:hAnsi="Verdana" w:cs="Arial"/>
        </w:rPr>
        <w:t>fill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during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the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first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90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days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of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beneficiary’s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enrollment</w:t>
      </w:r>
      <w:r w:rsidR="001701B1">
        <w:rPr>
          <w:rFonts w:ascii="Verdana" w:hAnsi="Verdana" w:cs="Arial"/>
        </w:rPr>
        <w:t xml:space="preserve"> </w:t>
      </w:r>
      <w:r w:rsidR="00172AF0" w:rsidRPr="008167F0">
        <w:rPr>
          <w:rFonts w:ascii="Verdana" w:hAnsi="Verdana" w:cs="Arial"/>
        </w:rPr>
        <w:t>for</w:t>
      </w:r>
      <w:r w:rsidR="001701B1">
        <w:rPr>
          <w:rFonts w:ascii="Verdana" w:hAnsi="Verdana" w:cs="Arial"/>
        </w:rPr>
        <w:t xml:space="preserve"> </w:t>
      </w:r>
      <w:r w:rsidR="00172AF0" w:rsidRPr="008167F0">
        <w:rPr>
          <w:rFonts w:ascii="Verdana" w:hAnsi="Verdana" w:cs="Arial"/>
        </w:rPr>
        <w:t>LTC</w:t>
      </w:r>
      <w:r w:rsidR="001701B1">
        <w:rPr>
          <w:rFonts w:ascii="Verdana" w:hAnsi="Verdana" w:cs="Arial"/>
        </w:rPr>
        <w:t xml:space="preserve"> </w:t>
      </w:r>
    </w:p>
    <w:p w14:paraId="1E78CFB2" w14:textId="77777777" w:rsidR="004A59DA" w:rsidRDefault="004A59DA" w:rsidP="008167F0">
      <w:pPr>
        <w:jc w:val="right"/>
        <w:rPr>
          <w:rFonts w:ascii="Verdana" w:hAnsi="Verdana"/>
        </w:rPr>
      </w:pPr>
    </w:p>
    <w:p w14:paraId="1BC49923" w14:textId="22FA266A" w:rsidR="00FE66F1" w:rsidRPr="00D4567B" w:rsidRDefault="00C20F93" w:rsidP="00FE66F1">
      <w:pPr>
        <w:rPr>
          <w:rStyle w:val="Hyperlink"/>
          <w:rFonts w:ascii="Verdana" w:hAnsi="Verdana"/>
          <w:color w:val="auto"/>
          <w:u w:val="none"/>
        </w:rPr>
      </w:pPr>
      <w:r>
        <w:rPr>
          <w:rFonts w:ascii="Verdana" w:hAnsi="Verdana"/>
          <w:b/>
          <w:noProof/>
        </w:rPr>
        <w:drawing>
          <wp:inline distT="0" distB="0" distL="0" distR="0" wp14:anchorId="1D30C989" wp14:editId="4B7A040C">
            <wp:extent cx="239395" cy="210820"/>
            <wp:effectExtent l="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1B1">
        <w:rPr>
          <w:rFonts w:ascii="Verdana" w:hAnsi="Verdana"/>
          <w:b/>
        </w:rPr>
        <w:t xml:space="preserve"> 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CMS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guidance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indicates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beneficiary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is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entitled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to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up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to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90-day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supply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in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single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Transition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Fill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during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Public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Health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Emergency.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Beneficiaries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can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request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proofErr w:type="gramStart"/>
      <w:r w:rsidR="00FE66F1" w:rsidRPr="00D4567B">
        <w:rPr>
          <w:rStyle w:val="Hyperlink"/>
          <w:rFonts w:ascii="Verdana" w:hAnsi="Verdana"/>
          <w:color w:val="auto"/>
          <w:u w:val="none"/>
        </w:rPr>
        <w:t>day</w:t>
      </w:r>
      <w:proofErr w:type="gramEnd"/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supply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greater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than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standard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30-day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Transition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Fill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if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beneficiary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has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not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received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transition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fill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already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during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their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new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plan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="00FE66F1" w:rsidRPr="00D4567B">
        <w:rPr>
          <w:rStyle w:val="Hyperlink"/>
          <w:rFonts w:ascii="Verdana" w:hAnsi="Verdana"/>
          <w:color w:val="auto"/>
          <w:u w:val="none"/>
        </w:rPr>
        <w:t>year.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</w:p>
    <w:p w14:paraId="60339367" w14:textId="77777777" w:rsidR="00FE66F1" w:rsidRPr="00D4567B" w:rsidRDefault="00FE66F1" w:rsidP="00FE66F1">
      <w:pPr>
        <w:rPr>
          <w:rStyle w:val="Hyperlink"/>
          <w:rFonts w:ascii="Verdana" w:hAnsi="Verdana"/>
          <w:color w:val="auto"/>
          <w:u w:val="none"/>
        </w:rPr>
      </w:pPr>
    </w:p>
    <w:p w14:paraId="35AABF65" w14:textId="77777777" w:rsidR="00FE66F1" w:rsidRPr="00D4567B" w:rsidRDefault="00FE66F1" w:rsidP="00FE66F1">
      <w:pPr>
        <w:rPr>
          <w:rStyle w:val="Hyperlink"/>
          <w:rFonts w:ascii="Verdana" w:hAnsi="Verdana"/>
          <w:color w:val="auto"/>
          <w:u w:val="none"/>
        </w:rPr>
      </w:pPr>
      <w:r w:rsidRPr="00D4567B">
        <w:rPr>
          <w:rStyle w:val="Hyperlink"/>
          <w:rFonts w:ascii="Verdana" w:hAnsi="Verdana"/>
          <w:color w:val="auto"/>
          <w:u w:val="none"/>
        </w:rPr>
        <w:t>Review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CIF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to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determine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if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client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allows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proofErr w:type="gramStart"/>
      <w:r w:rsidRPr="00D4567B">
        <w:rPr>
          <w:rStyle w:val="Hyperlink"/>
          <w:rFonts w:ascii="Verdana" w:hAnsi="Verdana"/>
          <w:color w:val="auto"/>
          <w:u w:val="none"/>
        </w:rPr>
        <w:t>90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day</w:t>
      </w:r>
      <w:proofErr w:type="gramEnd"/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supply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for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a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Transition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Fill.</w:t>
      </w:r>
    </w:p>
    <w:p w14:paraId="727D4B86" w14:textId="77777777" w:rsidR="00FE66F1" w:rsidRPr="00D4567B" w:rsidRDefault="00FE66F1" w:rsidP="00474631">
      <w:pPr>
        <w:pStyle w:val="ListParagraph"/>
        <w:numPr>
          <w:ilvl w:val="0"/>
          <w:numId w:val="3"/>
        </w:numPr>
        <w:rPr>
          <w:rStyle w:val="Hyperlink"/>
          <w:rFonts w:ascii="Verdana" w:hAnsi="Verdana"/>
          <w:color w:val="auto"/>
          <w:u w:val="none"/>
        </w:rPr>
      </w:pPr>
      <w:r w:rsidRPr="00D4567B">
        <w:rPr>
          <w:rStyle w:val="Hyperlink"/>
          <w:rFonts w:ascii="Verdana" w:hAnsi="Verdana"/>
          <w:color w:val="auto"/>
          <w:u w:val="none"/>
        </w:rPr>
        <w:t>If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yes,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transfer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to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EF4EBF">
        <w:rPr>
          <w:rStyle w:val="Hyperlink"/>
          <w:rFonts w:ascii="Verdana" w:hAnsi="Verdana"/>
          <w:b/>
          <w:bCs/>
          <w:color w:val="auto"/>
          <w:u w:val="none"/>
        </w:rPr>
        <w:t>Senior</w:t>
      </w:r>
      <w:r w:rsidR="001701B1" w:rsidRPr="00EF4EBF">
        <w:rPr>
          <w:rStyle w:val="Hyperlink"/>
          <w:rFonts w:ascii="Verdana" w:hAnsi="Verdana"/>
          <w:b/>
          <w:bCs/>
          <w:color w:val="auto"/>
          <w:u w:val="none"/>
        </w:rPr>
        <w:t xml:space="preserve"> </w:t>
      </w:r>
      <w:r w:rsidRPr="00EF4EBF">
        <w:rPr>
          <w:rStyle w:val="Hyperlink"/>
          <w:rFonts w:ascii="Verdana" w:hAnsi="Verdana"/>
          <w:b/>
          <w:bCs/>
          <w:color w:val="auto"/>
          <w:u w:val="none"/>
        </w:rPr>
        <w:t>Team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to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enter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the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appropriate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Transition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Fill</w:t>
      </w:r>
      <w:r w:rsidR="001701B1">
        <w:rPr>
          <w:rStyle w:val="Hyperlink"/>
          <w:rFonts w:ascii="Verdana" w:hAnsi="Verdana"/>
          <w:color w:val="auto"/>
          <w:u w:val="none"/>
        </w:rPr>
        <w:t xml:space="preserve"> </w:t>
      </w:r>
      <w:r w:rsidRPr="00D4567B">
        <w:rPr>
          <w:rStyle w:val="Hyperlink"/>
          <w:rFonts w:ascii="Verdana" w:hAnsi="Verdana"/>
          <w:color w:val="auto"/>
          <w:u w:val="none"/>
        </w:rPr>
        <w:t>Override.</w:t>
      </w:r>
    </w:p>
    <w:p w14:paraId="4BC7389C" w14:textId="77777777" w:rsidR="001701B1" w:rsidRDefault="001701B1" w:rsidP="006557E1">
      <w:pPr>
        <w:rPr>
          <w:rFonts w:ascii="Verdana" w:hAnsi="Verdana"/>
          <w:b/>
          <w:bCs/>
        </w:rPr>
      </w:pPr>
    </w:p>
    <w:p w14:paraId="34D385ED" w14:textId="77777777" w:rsidR="006557E1" w:rsidRDefault="006557E1" w:rsidP="006557E1">
      <w:pPr>
        <w:rPr>
          <w:rStyle w:val="Hyperlink"/>
          <w:rFonts w:ascii="Verdana" w:hAnsi="Verdana"/>
          <w:color w:val="auto"/>
          <w:u w:val="none"/>
        </w:rPr>
      </w:pPr>
      <w:r>
        <w:rPr>
          <w:rFonts w:ascii="Verdana" w:hAnsi="Verdana"/>
          <w:b/>
          <w:bCs/>
        </w:rPr>
        <w:t>Senior</w:t>
      </w:r>
      <w:r w:rsidR="001701B1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Team</w:t>
      </w:r>
      <w:r w:rsidR="001701B1">
        <w:rPr>
          <w:rFonts w:ascii="Verdana" w:hAnsi="Verdana"/>
          <w:b/>
          <w:bCs/>
        </w:rPr>
        <w:t xml:space="preserve"> </w:t>
      </w:r>
      <w:r w:rsidRPr="00926AA4">
        <w:rPr>
          <w:rFonts w:ascii="Verdana" w:hAnsi="Verdana"/>
          <w:b/>
          <w:bCs/>
        </w:rPr>
        <w:t>Note</w:t>
      </w:r>
      <w:r w:rsidRPr="00926AA4">
        <w:rPr>
          <w:rFonts w:ascii="Verdana" w:hAnsi="Verdana"/>
          <w:b/>
        </w:rPr>
        <w:t>: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Use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the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appropriate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TF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override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code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to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assure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that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a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Part-D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Transition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Fill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letter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is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sent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to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the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member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and</w:t>
      </w:r>
      <w:r w:rsidR="001701B1">
        <w:rPr>
          <w:rFonts w:ascii="Verdana" w:hAnsi="Verdana"/>
        </w:rPr>
        <w:t xml:space="preserve"> </w:t>
      </w:r>
      <w:r w:rsidRPr="00926AA4">
        <w:rPr>
          <w:rFonts w:ascii="Verdana" w:hAnsi="Verdana"/>
        </w:rPr>
        <w:t>prescriber.</w:t>
      </w:r>
    </w:p>
    <w:p w14:paraId="31C592FD" w14:textId="77777777" w:rsidR="00FE66F1" w:rsidRPr="00FE66F1" w:rsidRDefault="00FE66F1" w:rsidP="00FE66F1">
      <w:pPr>
        <w:rPr>
          <w:rFonts w:ascii="Verdana" w:hAnsi="Verdana"/>
          <w:b/>
        </w:rPr>
      </w:pPr>
    </w:p>
    <w:p w14:paraId="03A4CF1A" w14:textId="77777777" w:rsidR="003545DC" w:rsidRPr="00DF5BB6" w:rsidRDefault="003545DC" w:rsidP="003545DC">
      <w:pPr>
        <w:autoSpaceDE w:val="0"/>
        <w:autoSpaceDN w:val="0"/>
        <w:adjustRightInd w:val="0"/>
        <w:rPr>
          <w:rFonts w:ascii="Verdana" w:hAnsi="Verdana" w:cs="Arial"/>
          <w:b/>
          <w:color w:val="000000"/>
        </w:rPr>
      </w:pPr>
      <w:r w:rsidRPr="00DF5BB6">
        <w:rPr>
          <w:rFonts w:ascii="Verdana" w:hAnsi="Verdana" w:cs="Arial"/>
          <w:b/>
          <w:color w:val="000000"/>
        </w:rPr>
        <w:t>Unbreakable</w:t>
      </w:r>
      <w:r w:rsidR="001701B1">
        <w:rPr>
          <w:rFonts w:ascii="Verdana" w:hAnsi="Verdana" w:cs="Arial"/>
          <w:b/>
          <w:color w:val="000000"/>
        </w:rPr>
        <w:t xml:space="preserve"> </w:t>
      </w:r>
      <w:r w:rsidRPr="00DF5BB6">
        <w:rPr>
          <w:rFonts w:ascii="Verdana" w:hAnsi="Verdana" w:cs="Arial"/>
          <w:b/>
          <w:color w:val="000000"/>
        </w:rPr>
        <w:t>pre-packaged</w:t>
      </w:r>
      <w:r w:rsidR="001701B1">
        <w:rPr>
          <w:rFonts w:ascii="Verdana" w:hAnsi="Verdana" w:cs="Arial"/>
          <w:b/>
          <w:color w:val="000000"/>
        </w:rPr>
        <w:t xml:space="preserve"> </w:t>
      </w:r>
      <w:r w:rsidRPr="00DF5BB6">
        <w:rPr>
          <w:rFonts w:ascii="Verdana" w:hAnsi="Verdana" w:cs="Arial"/>
          <w:b/>
          <w:color w:val="000000"/>
        </w:rPr>
        <w:t>medications</w:t>
      </w:r>
      <w:r w:rsidR="001701B1">
        <w:rPr>
          <w:rFonts w:ascii="Verdana" w:hAnsi="Verdana" w:cs="Arial"/>
          <w:b/>
          <w:color w:val="000000"/>
        </w:rPr>
        <w:t xml:space="preserve"> </w:t>
      </w:r>
    </w:p>
    <w:p w14:paraId="64A9CE18" w14:textId="77777777" w:rsidR="003545DC" w:rsidRPr="00DF5BB6" w:rsidRDefault="003545DC" w:rsidP="00474631">
      <w:pPr>
        <w:numPr>
          <w:ilvl w:val="0"/>
          <w:numId w:val="3"/>
        </w:numPr>
        <w:rPr>
          <w:rFonts w:ascii="Verdana" w:hAnsi="Verdana"/>
        </w:rPr>
      </w:pPr>
      <w:r w:rsidRPr="00DF5BB6">
        <w:rPr>
          <w:rFonts w:ascii="Verdana" w:hAnsi="Verdana"/>
        </w:rPr>
        <w:t>Beneficiaries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will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be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allowed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one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unbreakable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package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per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claim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when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the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Plan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benefit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or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Transition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Fill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benefit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is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exceeded;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even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if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that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means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the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beneficiary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will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receive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a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higher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day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supply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than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the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minimum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set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by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CMS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regulations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or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plan</w:t>
      </w:r>
      <w:r w:rsidR="001701B1">
        <w:rPr>
          <w:rFonts w:ascii="Verdana" w:hAnsi="Verdana"/>
        </w:rPr>
        <w:t xml:space="preserve"> </w:t>
      </w:r>
      <w:r w:rsidRPr="00DF5BB6">
        <w:rPr>
          <w:rFonts w:ascii="Verdana" w:hAnsi="Verdana"/>
        </w:rPr>
        <w:t>desig</w:t>
      </w:r>
      <w:r w:rsidR="001D732E">
        <w:rPr>
          <w:rFonts w:ascii="Verdana" w:hAnsi="Verdana"/>
        </w:rPr>
        <w:t>n.</w:t>
      </w:r>
    </w:p>
    <w:p w14:paraId="61544AA7" w14:textId="77777777" w:rsidR="003545DC" w:rsidRPr="008167F0" w:rsidRDefault="003545DC" w:rsidP="008167F0">
      <w:pPr>
        <w:jc w:val="right"/>
        <w:rPr>
          <w:rFonts w:ascii="Verdana" w:hAnsi="Verdana"/>
        </w:rPr>
      </w:pPr>
    </w:p>
    <w:p w14:paraId="79C0E3FF" w14:textId="77777777" w:rsidR="0072365E" w:rsidRPr="008167F0" w:rsidRDefault="0072365E" w:rsidP="008167F0">
      <w:pPr>
        <w:autoSpaceDE w:val="0"/>
        <w:autoSpaceDN w:val="0"/>
        <w:adjustRightInd w:val="0"/>
        <w:rPr>
          <w:rFonts w:ascii="Verdana" w:hAnsi="Verdana" w:cs="Arial,BoldItalic"/>
          <w:b/>
          <w:bCs/>
          <w:iCs/>
        </w:rPr>
      </w:pPr>
      <w:r w:rsidRPr="008167F0">
        <w:rPr>
          <w:rFonts w:ascii="Verdana" w:hAnsi="Verdana" w:cs="Arial,BoldItalic"/>
          <w:b/>
          <w:bCs/>
          <w:iCs/>
        </w:rPr>
        <w:t>Key</w:t>
      </w:r>
      <w:r w:rsidR="001701B1">
        <w:rPr>
          <w:rFonts w:ascii="Verdana" w:hAnsi="Verdana" w:cs="Arial,BoldItalic"/>
          <w:b/>
          <w:bCs/>
          <w:iCs/>
        </w:rPr>
        <w:t xml:space="preserve"> </w:t>
      </w:r>
      <w:r w:rsidRPr="008167F0">
        <w:rPr>
          <w:rFonts w:ascii="Verdana" w:hAnsi="Verdana" w:cs="Arial,BoldItalic"/>
          <w:b/>
          <w:bCs/>
          <w:iCs/>
        </w:rPr>
        <w:t>Points:</w:t>
      </w:r>
      <w:r w:rsidR="001701B1">
        <w:rPr>
          <w:rFonts w:ascii="Verdana" w:hAnsi="Verdana" w:cs="Arial,BoldItalic"/>
          <w:b/>
          <w:bCs/>
          <w:iCs/>
        </w:rPr>
        <w:t xml:space="preserve">  </w:t>
      </w:r>
    </w:p>
    <w:p w14:paraId="77F7AD16" w14:textId="77777777" w:rsidR="00C8612C" w:rsidRPr="00BC358D" w:rsidRDefault="00C8612C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,BoldItalic"/>
          <w:bCs/>
          <w:iCs/>
        </w:rPr>
      </w:pPr>
      <w:r w:rsidRPr="00BC358D">
        <w:rPr>
          <w:rFonts w:ascii="Verdana" w:hAnsi="Verdana" w:cs="Arial,BoldItalic"/>
          <w:bCs/>
          <w:iCs/>
        </w:rPr>
        <w:t>The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transition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fill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is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up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to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at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least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a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temporary</w:t>
      </w:r>
      <w:r w:rsidR="00C5736F" w:rsidRPr="00BC358D">
        <w:rPr>
          <w:rFonts w:ascii="Verdana" w:hAnsi="Verdana" w:cs="Arial,BoldItalic"/>
          <w:bCs/>
          <w:iCs/>
        </w:rPr>
        <w:t>,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30-day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supply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for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medications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that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are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not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currently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covered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or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require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additional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authorization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for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plan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Pr="00BC358D">
        <w:rPr>
          <w:rFonts w:ascii="Verdana" w:hAnsi="Verdana" w:cs="Arial,BoldItalic"/>
          <w:bCs/>
          <w:iCs/>
        </w:rPr>
        <w:t>coverage.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A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proofErr w:type="gramStart"/>
      <w:r w:rsidR="007B7D19" w:rsidRPr="00BC358D">
        <w:rPr>
          <w:rFonts w:ascii="Verdana" w:hAnsi="Verdana" w:cs="Arial,BoldItalic"/>
          <w:bCs/>
          <w:iCs/>
        </w:rPr>
        <w:t>Long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Term</w:t>
      </w:r>
      <w:proofErr w:type="gramEnd"/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Care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beneficiary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receives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up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to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at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least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a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001093" w:rsidRPr="00BC358D">
        <w:rPr>
          <w:rFonts w:ascii="Verdana" w:hAnsi="Verdana" w:cs="Arial,BoldItalic"/>
          <w:bCs/>
          <w:iCs/>
        </w:rPr>
        <w:t>31</w:t>
      </w:r>
      <w:r w:rsidR="007B7D19" w:rsidRPr="00BC358D">
        <w:rPr>
          <w:rFonts w:ascii="Verdana" w:hAnsi="Verdana" w:cs="Arial,BoldItalic"/>
          <w:bCs/>
          <w:iCs/>
        </w:rPr>
        <w:t>-day</w:t>
      </w:r>
      <w:r w:rsidR="001701B1" w:rsidRPr="00BC358D">
        <w:rPr>
          <w:rFonts w:ascii="Verdana" w:hAnsi="Verdana" w:cs="Arial,BoldItalic"/>
          <w:bCs/>
          <w:iCs/>
        </w:rPr>
        <w:t xml:space="preserve"> </w:t>
      </w:r>
      <w:r w:rsidR="007B7D19" w:rsidRPr="00BC358D">
        <w:rPr>
          <w:rFonts w:ascii="Verdana" w:hAnsi="Verdana" w:cs="Arial,BoldItalic"/>
          <w:bCs/>
          <w:iCs/>
        </w:rPr>
        <w:t>supply.</w:t>
      </w:r>
      <w:r w:rsidR="001701B1" w:rsidRPr="00BC358D">
        <w:rPr>
          <w:rFonts w:ascii="Verdana" w:hAnsi="Verdana" w:cs="Arial"/>
        </w:rPr>
        <w:t xml:space="preserve"> </w:t>
      </w:r>
    </w:p>
    <w:p w14:paraId="73B82425" w14:textId="77777777" w:rsidR="0072365E" w:rsidRPr="00BC358D" w:rsidRDefault="0072365E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CMS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drug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exclusions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are</w:t>
      </w:r>
      <w:r w:rsidR="001701B1" w:rsidRPr="00BC358D">
        <w:rPr>
          <w:rFonts w:ascii="Verdana" w:hAnsi="Verdana" w:cs="Arial"/>
        </w:rPr>
        <w:t xml:space="preserve"> </w:t>
      </w:r>
      <w:r w:rsidR="000770DE" w:rsidRPr="00BC358D">
        <w:rPr>
          <w:rFonts w:ascii="Verdana" w:hAnsi="Verdana" w:cs="Arial"/>
          <w:b/>
        </w:rPr>
        <w:t>NOT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covered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during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period</w:t>
      </w:r>
      <w:r w:rsidR="00490C55" w:rsidRPr="00BC358D">
        <w:rPr>
          <w:rFonts w:ascii="Verdana" w:hAnsi="Verdana" w:cs="Arial"/>
        </w:rPr>
        <w:t>.</w:t>
      </w:r>
    </w:p>
    <w:p w14:paraId="7A4F82B8" w14:textId="77777777" w:rsidR="0072365E" w:rsidRPr="00BC358D" w:rsidRDefault="0072365E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Quantity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limits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apply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during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period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ensure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beneficiary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safety.</w:t>
      </w:r>
      <w:r w:rsidR="001701B1" w:rsidRPr="00BC358D">
        <w:rPr>
          <w:rFonts w:ascii="Verdana" w:hAnsi="Verdana" w:cs="Arial"/>
        </w:rPr>
        <w:t xml:space="preserve"> </w:t>
      </w:r>
    </w:p>
    <w:p w14:paraId="5756C09B" w14:textId="77777777" w:rsidR="0072365E" w:rsidRPr="00BC358D" w:rsidRDefault="0072365E" w:rsidP="00474631">
      <w:pPr>
        <w:numPr>
          <w:ilvl w:val="1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Beneficiaries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may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still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receive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quantity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limit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restricted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medication,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within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specific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plan’s</w:t>
      </w:r>
      <w:r w:rsidR="001701B1" w:rsidRPr="00BC358D">
        <w:rPr>
          <w:rFonts w:ascii="Verdana" w:hAnsi="Verdana" w:cs="Arial"/>
          <w:color w:val="FF0000"/>
        </w:rPr>
        <w:t xml:space="preserve"> </w:t>
      </w:r>
      <w:r w:rsidRPr="00BC358D">
        <w:rPr>
          <w:rFonts w:ascii="Verdana" w:hAnsi="Verdana" w:cs="Arial"/>
        </w:rPr>
        <w:t>defined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quantity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limit,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allow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time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exception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request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allow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time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prescriber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change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dosing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regimen.</w:t>
      </w:r>
    </w:p>
    <w:p w14:paraId="3627EC93" w14:textId="77777777" w:rsidR="00C8612C" w:rsidRPr="00BC358D" w:rsidRDefault="00C8612C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When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prescription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is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processed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fill,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prescription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can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  <w:b/>
        </w:rPr>
        <w:t>ONLY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filled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="007B7D19" w:rsidRPr="00BC358D">
        <w:rPr>
          <w:rFonts w:ascii="Verdana" w:hAnsi="Verdana" w:cs="Arial"/>
        </w:rPr>
        <w:t>up</w:t>
      </w:r>
      <w:r w:rsidR="001701B1" w:rsidRPr="00BC358D">
        <w:rPr>
          <w:rFonts w:ascii="Verdana" w:hAnsi="Verdana" w:cs="Arial"/>
        </w:rPr>
        <w:t xml:space="preserve"> </w:t>
      </w:r>
      <w:r w:rsidR="007B7D19"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30-day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supply.</w:t>
      </w:r>
    </w:p>
    <w:p w14:paraId="34AB9D51" w14:textId="77777777" w:rsidR="00C8612C" w:rsidRPr="00BC358D" w:rsidRDefault="009852D6" w:rsidP="00BC358D">
      <w:pPr>
        <w:autoSpaceDE w:val="0"/>
        <w:autoSpaceDN w:val="0"/>
        <w:adjustRightInd w:val="0"/>
        <w:ind w:left="720"/>
        <w:rPr>
          <w:rFonts w:ascii="Verdana" w:hAnsi="Verdana" w:cs="Arial"/>
        </w:rPr>
      </w:pPr>
      <w:r w:rsidRPr="00BC358D">
        <w:rPr>
          <w:rFonts w:ascii="Verdana" w:hAnsi="Verdana" w:cs="Arial"/>
          <w:b/>
        </w:rPr>
        <w:t>Note</w:t>
      </w:r>
      <w:r w:rsidR="00C8612C" w:rsidRPr="00BC358D">
        <w:rPr>
          <w:rFonts w:ascii="Verdana" w:hAnsi="Verdana" w:cs="Arial"/>
          <w:b/>
        </w:rPr>
        <w:t>:</w:t>
      </w:r>
      <w:r w:rsidR="001701B1" w:rsidRPr="00BC358D">
        <w:rPr>
          <w:rFonts w:ascii="Verdana" w:hAnsi="Verdana" w:cs="Arial"/>
        </w:rPr>
        <w:t xml:space="preserve">  </w:t>
      </w:r>
      <w:r w:rsidR="00C8612C" w:rsidRPr="00BC358D">
        <w:rPr>
          <w:rFonts w:ascii="Verdana" w:hAnsi="Verdana" w:cs="Arial"/>
        </w:rPr>
        <w:t>Mail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Order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prescriptions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processed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fill,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though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written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90-day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supply,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can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  <w:b/>
        </w:rPr>
        <w:t>ONLY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filled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30-day</w:t>
      </w:r>
      <w:r w:rsidR="001701B1" w:rsidRPr="00BC358D">
        <w:rPr>
          <w:rFonts w:ascii="Verdana" w:hAnsi="Verdana" w:cs="Arial"/>
        </w:rPr>
        <w:t xml:space="preserve"> </w:t>
      </w:r>
      <w:r w:rsidR="00C8612C" w:rsidRPr="00BC358D">
        <w:rPr>
          <w:rFonts w:ascii="Verdana" w:hAnsi="Verdana" w:cs="Arial"/>
        </w:rPr>
        <w:t>supply.</w:t>
      </w:r>
    </w:p>
    <w:p w14:paraId="36BF0511" w14:textId="77777777" w:rsidR="0072365E" w:rsidRPr="00BC358D" w:rsidRDefault="00C8612C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Once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fill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(temporary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30</w:t>
      </w:r>
      <w:r w:rsidR="00D32DBC" w:rsidRPr="00BC358D">
        <w:rPr>
          <w:rFonts w:ascii="Verdana" w:hAnsi="Verdana" w:cs="Arial"/>
        </w:rPr>
        <w:t>-</w:t>
      </w:r>
      <w:r w:rsidR="0072365E" w:rsidRPr="00BC358D">
        <w:rPr>
          <w:rFonts w:ascii="Verdana" w:hAnsi="Verdana" w:cs="Arial"/>
        </w:rPr>
        <w:t>day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supply</w:t>
      </w:r>
      <w:r w:rsidRPr="00BC358D">
        <w:rPr>
          <w:rFonts w:ascii="Verdana" w:hAnsi="Verdana" w:cs="Arial"/>
        </w:rPr>
        <w:t>)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has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been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applied</w:t>
      </w:r>
      <w:r w:rsidR="0072365E" w:rsidRPr="00BC358D">
        <w:rPr>
          <w:rFonts w:ascii="Verdana" w:hAnsi="Verdana" w:cs="Arial"/>
        </w:rPr>
        <w:t>,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beneficiary/prescriber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will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required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follow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normal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process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for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requesting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prior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authorizations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and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medical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necessity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review,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step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therapy,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exception</w:t>
      </w:r>
      <w:r w:rsidR="001701B1" w:rsidRPr="00BC358D">
        <w:rPr>
          <w:rFonts w:ascii="Verdana" w:hAnsi="Verdana" w:cs="Arial"/>
        </w:rPr>
        <w:t xml:space="preserve"> </w:t>
      </w:r>
      <w:r w:rsidR="0072365E" w:rsidRPr="00BC358D">
        <w:rPr>
          <w:rFonts w:ascii="Verdana" w:hAnsi="Verdana" w:cs="Arial"/>
        </w:rPr>
        <w:t>processing</w:t>
      </w:r>
      <w:r w:rsidR="00F119BA" w:rsidRPr="00BC358D">
        <w:rPr>
          <w:rFonts w:ascii="Verdana" w:hAnsi="Verdana" w:cs="Arial"/>
        </w:rPr>
        <w:t>,</w:t>
      </w:r>
      <w:r w:rsidR="001701B1" w:rsidRPr="00BC358D">
        <w:rPr>
          <w:rFonts w:ascii="Verdana" w:hAnsi="Verdana" w:cs="Arial"/>
        </w:rPr>
        <w:t xml:space="preserve"> </w:t>
      </w:r>
      <w:r w:rsidR="00F119BA"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="00F119BA" w:rsidRPr="00BC358D">
        <w:rPr>
          <w:rFonts w:ascii="Verdana" w:hAnsi="Verdana" w:cs="Arial"/>
        </w:rPr>
        <w:t>change</w:t>
      </w:r>
      <w:r w:rsidR="001701B1" w:rsidRPr="00BC358D">
        <w:rPr>
          <w:rFonts w:ascii="Verdana" w:hAnsi="Verdana" w:cs="Arial"/>
        </w:rPr>
        <w:t xml:space="preserve"> </w:t>
      </w:r>
      <w:r w:rsidR="00F119BA"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="00F119BA" w:rsidRPr="00BC358D">
        <w:rPr>
          <w:rFonts w:ascii="Verdana" w:hAnsi="Verdana" w:cs="Arial"/>
        </w:rPr>
        <w:t>alternative</w:t>
      </w:r>
      <w:r w:rsidR="001701B1" w:rsidRPr="00BC358D">
        <w:rPr>
          <w:rFonts w:ascii="Verdana" w:hAnsi="Verdana" w:cs="Arial"/>
        </w:rPr>
        <w:t xml:space="preserve"> </w:t>
      </w:r>
      <w:r w:rsidR="00F119BA" w:rsidRPr="00BC358D">
        <w:rPr>
          <w:rFonts w:ascii="Verdana" w:hAnsi="Verdana" w:cs="Arial"/>
        </w:rPr>
        <w:t>medication</w:t>
      </w:r>
      <w:r w:rsidR="0072365E" w:rsidRPr="00BC358D">
        <w:rPr>
          <w:rFonts w:ascii="Verdana" w:hAnsi="Verdana" w:cs="Arial"/>
        </w:rPr>
        <w:t>.</w:t>
      </w:r>
    </w:p>
    <w:p w14:paraId="59323271" w14:textId="77777777" w:rsidR="0072365E" w:rsidRPr="00BC358D" w:rsidRDefault="0072365E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Beneficiaries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prescribers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will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sent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written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notice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via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U.S.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mail,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within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3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business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days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of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receiving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fill,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notify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beneficiary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that</w:t>
      </w:r>
      <w:r w:rsidR="001701B1" w:rsidRPr="00BC358D">
        <w:rPr>
          <w:rFonts w:ascii="Verdana" w:hAnsi="Verdana" w:cs="Arial"/>
        </w:rPr>
        <w:t xml:space="preserve"> </w:t>
      </w:r>
      <w:r w:rsidR="00093642">
        <w:rPr>
          <w:rFonts w:ascii="Verdana" w:hAnsi="Verdana" w:cs="Arial"/>
        </w:rPr>
        <w:t>they have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received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supply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should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work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="00093642">
        <w:rPr>
          <w:rFonts w:ascii="Verdana" w:hAnsi="Verdana" w:cs="Arial"/>
        </w:rPr>
        <w:t>their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prescriber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discuss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switching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formulary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medication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pursue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formulary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exception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request</w:t>
      </w:r>
      <w:r w:rsidR="001701B1" w:rsidRPr="00BC358D">
        <w:rPr>
          <w:rFonts w:ascii="Verdana" w:hAnsi="Verdana" w:cs="Arial"/>
        </w:rPr>
        <w:t xml:space="preserve"> </w:t>
      </w:r>
      <w:r w:rsidR="00975200"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="00975200" w:rsidRPr="00BC358D">
        <w:rPr>
          <w:rFonts w:ascii="Verdana" w:hAnsi="Verdana" w:cs="Arial"/>
        </w:rPr>
        <w:t>UM</w:t>
      </w:r>
      <w:r w:rsidR="001701B1" w:rsidRPr="00BC358D">
        <w:rPr>
          <w:rFonts w:ascii="Verdana" w:hAnsi="Verdana" w:cs="Arial"/>
        </w:rPr>
        <w:t xml:space="preserve"> </w:t>
      </w:r>
      <w:r w:rsidR="00975200" w:rsidRPr="00BC358D">
        <w:rPr>
          <w:rFonts w:ascii="Verdana" w:hAnsi="Verdana" w:cs="Arial"/>
        </w:rPr>
        <w:t>edit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plan</w:t>
      </w:r>
      <w:r w:rsidR="00C5736F" w:rsidRPr="00BC358D">
        <w:rPr>
          <w:rFonts w:ascii="Verdana" w:hAnsi="Verdana" w:cs="Arial"/>
        </w:rPr>
        <w:t>.</w:t>
      </w:r>
    </w:p>
    <w:p w14:paraId="75C60E03" w14:textId="77777777" w:rsidR="0072365E" w:rsidRPr="00BC358D" w:rsidRDefault="0072365E" w:rsidP="00474631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,BoldItalic"/>
        </w:rPr>
      </w:pPr>
      <w:r w:rsidRPr="00BC358D">
        <w:rPr>
          <w:rFonts w:ascii="Verdana" w:hAnsi="Verdana" w:cs="Arial"/>
        </w:rPr>
        <w:t>Decisions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="00975200" w:rsidRPr="00BC358D">
        <w:rPr>
          <w:rFonts w:ascii="Verdana" w:hAnsi="Verdana" w:cs="Arial"/>
        </w:rPr>
        <w:t>exception</w:t>
      </w:r>
      <w:r w:rsidR="001701B1" w:rsidRPr="00BC358D">
        <w:rPr>
          <w:rFonts w:ascii="Verdana" w:hAnsi="Verdana" w:cs="Arial"/>
        </w:rPr>
        <w:t xml:space="preserve"> </w:t>
      </w:r>
      <w:r w:rsidR="00975200" w:rsidRPr="00BC358D">
        <w:rPr>
          <w:rFonts w:ascii="Verdana" w:hAnsi="Verdana" w:cs="Arial"/>
        </w:rPr>
        <w:t>request</w:t>
      </w:r>
      <w:r w:rsidRPr="00BC358D">
        <w:rPr>
          <w:rFonts w:ascii="Verdana" w:hAnsi="Verdana" w:cs="Arial"/>
        </w:rPr>
        <w:t>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will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appropriately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address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situations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involving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beneficiaries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stabilized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drugs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that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are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not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formulary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have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known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risks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associated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changes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in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prescribed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regimen.</w:t>
      </w:r>
      <w:r w:rsidR="001701B1" w:rsidRPr="00BC358D">
        <w:rPr>
          <w:rFonts w:ascii="Verdana" w:hAnsi="Verdana" w:cs="Arial"/>
        </w:rPr>
        <w:t xml:space="preserve"> </w:t>
      </w:r>
    </w:p>
    <w:p w14:paraId="4A1477AF" w14:textId="77777777" w:rsidR="0072365E" w:rsidRPr="00BC358D" w:rsidRDefault="0072365E" w:rsidP="00474631">
      <w:pPr>
        <w:numPr>
          <w:ilvl w:val="1"/>
          <w:numId w:val="3"/>
        </w:numPr>
        <w:autoSpaceDE w:val="0"/>
        <w:autoSpaceDN w:val="0"/>
        <w:adjustRightInd w:val="0"/>
        <w:rPr>
          <w:rFonts w:ascii="Verdana" w:hAnsi="Verdana" w:cs="Arial"/>
        </w:rPr>
      </w:pPr>
      <w:r w:rsidRPr="00BC358D">
        <w:rPr>
          <w:rFonts w:ascii="Verdana" w:hAnsi="Verdana" w:cs="Arial"/>
        </w:rPr>
        <w:t>In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certain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circumstances,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beneficiary’s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clinical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condition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may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require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extension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of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defined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period</w:t>
      </w:r>
      <w:r w:rsidR="004764ED" w:rsidRPr="00BC358D">
        <w:rPr>
          <w:rFonts w:ascii="Verdana" w:hAnsi="Verdana" w:cs="Arial"/>
        </w:rPr>
        <w:t>;</w:t>
      </w:r>
      <w:r w:rsidR="001701B1" w:rsidRPr="00BC358D">
        <w:rPr>
          <w:rFonts w:ascii="Verdana" w:hAnsi="Verdana" w:cs="Arial"/>
        </w:rPr>
        <w:t xml:space="preserve"> </w:t>
      </w:r>
      <w:r w:rsidR="008167F0" w:rsidRPr="00BC358D">
        <w:rPr>
          <w:rFonts w:ascii="Verdana" w:hAnsi="Verdana" w:cs="Arial"/>
        </w:rPr>
        <w:t>this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will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allowed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case</w:t>
      </w:r>
      <w:r w:rsidR="00003785" w:rsidRPr="00BC358D">
        <w:rPr>
          <w:rFonts w:ascii="Verdana" w:hAnsi="Verdana" w:cs="Arial"/>
        </w:rPr>
        <w:t>-</w:t>
      </w:r>
      <w:r w:rsidRPr="00BC358D">
        <w:rPr>
          <w:rFonts w:ascii="Verdana" w:hAnsi="Verdana" w:cs="Arial"/>
        </w:rPr>
        <w:t>by</w:t>
      </w:r>
      <w:r w:rsidR="00003785" w:rsidRPr="00BC358D">
        <w:rPr>
          <w:rFonts w:ascii="Verdana" w:hAnsi="Verdana" w:cs="Arial"/>
        </w:rPr>
        <w:t>-</w:t>
      </w:r>
      <w:r w:rsidRPr="00BC358D">
        <w:rPr>
          <w:rFonts w:ascii="Verdana" w:hAnsi="Verdana" w:cs="Arial"/>
        </w:rPr>
        <w:t>case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basis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need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arises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when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determined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appropriate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clinical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staff.</w:t>
      </w:r>
    </w:p>
    <w:p w14:paraId="0E405250" w14:textId="77777777" w:rsidR="007B7D19" w:rsidRPr="00BC358D" w:rsidRDefault="007B7D19" w:rsidP="00474631">
      <w:pPr>
        <w:numPr>
          <w:ilvl w:val="1"/>
          <w:numId w:val="3"/>
        </w:numPr>
        <w:autoSpaceDE w:val="0"/>
        <w:autoSpaceDN w:val="0"/>
        <w:adjustRightInd w:val="0"/>
        <w:rPr>
          <w:rFonts w:ascii="Verdana" w:hAnsi="Verdana" w:cs="Arial,BoldItalic"/>
        </w:rPr>
      </w:pP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beneficiary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may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be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allowed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an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extension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of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defined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transition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period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i</w:t>
      </w:r>
      <w:r w:rsidR="004A0E79" w:rsidRPr="00BC358D">
        <w:rPr>
          <w:rFonts w:ascii="Verdana" w:hAnsi="Verdana" w:cs="Arial"/>
        </w:rPr>
        <w:t>f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coverage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determina</w:t>
      </w:r>
      <w:r w:rsidR="00DE3B2B" w:rsidRPr="00BC358D">
        <w:rPr>
          <w:rFonts w:ascii="Verdana" w:hAnsi="Verdana" w:cs="Arial,BoldItalic"/>
        </w:rPr>
        <w:t>t</w:t>
      </w:r>
      <w:r w:rsidR="009B72CE" w:rsidRPr="00BC358D">
        <w:rPr>
          <w:rFonts w:ascii="Verdana" w:hAnsi="Verdana" w:cs="Arial"/>
        </w:rPr>
        <w:t>ion</w:t>
      </w:r>
      <w:r w:rsidR="001701B1" w:rsidRPr="00BC358D">
        <w:rPr>
          <w:rFonts w:ascii="Verdana" w:hAnsi="Verdana" w:cs="Arial"/>
        </w:rPr>
        <w:t xml:space="preserve"> </w:t>
      </w:r>
      <w:r w:rsidRPr="00BC358D">
        <w:rPr>
          <w:rFonts w:ascii="Verdana" w:hAnsi="Verdana" w:cs="Arial"/>
        </w:rPr>
        <w:t>is</w:t>
      </w:r>
      <w:r w:rsidR="001701B1" w:rsidRPr="00BC358D">
        <w:rPr>
          <w:rFonts w:ascii="Verdana" w:hAnsi="Verdana" w:cs="Arial"/>
        </w:rPr>
        <w:t xml:space="preserve"> </w:t>
      </w:r>
      <w:proofErr w:type="gramStart"/>
      <w:r w:rsidRPr="00BC358D">
        <w:rPr>
          <w:rFonts w:ascii="Verdana" w:hAnsi="Verdana" w:cs="Arial"/>
        </w:rPr>
        <w:t>pending</w:t>
      </w:r>
      <w:proofErr w:type="gramEnd"/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or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beneficiary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wishes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to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proceed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with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the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next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level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of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their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Medicare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appeal</w:t>
      </w:r>
      <w:r w:rsidR="001701B1" w:rsidRPr="00BC358D">
        <w:rPr>
          <w:rFonts w:ascii="Verdana" w:hAnsi="Verdana" w:cs="Arial"/>
        </w:rPr>
        <w:t xml:space="preserve"> </w:t>
      </w:r>
      <w:r w:rsidR="009B72CE" w:rsidRPr="00BC358D">
        <w:rPr>
          <w:rFonts w:ascii="Verdana" w:hAnsi="Verdana" w:cs="Arial"/>
        </w:rPr>
        <w:t>rights.</w:t>
      </w:r>
    </w:p>
    <w:p w14:paraId="54A28374" w14:textId="77777777" w:rsidR="008D46DE" w:rsidRPr="008167F0" w:rsidRDefault="008D46DE" w:rsidP="008167F0">
      <w:pPr>
        <w:jc w:val="right"/>
        <w:rPr>
          <w:rFonts w:ascii="Verdana" w:hAnsi="Verdana"/>
        </w:rPr>
      </w:pPr>
    </w:p>
    <w:p w14:paraId="7999E269" w14:textId="77777777" w:rsidR="00C25A8E" w:rsidRPr="008167F0" w:rsidRDefault="00196DE7" w:rsidP="008167F0">
      <w:pPr>
        <w:jc w:val="right"/>
        <w:rPr>
          <w:rFonts w:ascii="Verdana" w:hAnsi="Verdana"/>
        </w:rPr>
      </w:pPr>
      <w:hyperlink w:anchor="_top" w:history="1">
        <w:r w:rsidRPr="008167F0">
          <w:rPr>
            <w:rStyle w:val="Hyperlink"/>
            <w:rFonts w:ascii="Verdana" w:hAnsi="Verdana"/>
          </w:rPr>
          <w:t>Top</w:t>
        </w:r>
        <w:r w:rsidR="001701B1">
          <w:rPr>
            <w:rStyle w:val="Hyperlink"/>
            <w:rFonts w:ascii="Verdana" w:hAnsi="Verdana"/>
          </w:rPr>
          <w:t xml:space="preserve"> </w:t>
        </w:r>
        <w:r w:rsidRPr="008167F0">
          <w:rPr>
            <w:rStyle w:val="Hyperlink"/>
            <w:rFonts w:ascii="Verdana" w:hAnsi="Verdana"/>
          </w:rPr>
          <w:t>of</w:t>
        </w:r>
        <w:r w:rsidR="001701B1">
          <w:rPr>
            <w:rStyle w:val="Hyperlink"/>
            <w:rFonts w:ascii="Verdana" w:hAnsi="Verdana"/>
          </w:rPr>
          <w:t xml:space="preserve"> </w:t>
        </w:r>
        <w:r w:rsidRPr="008167F0">
          <w:rPr>
            <w:rStyle w:val="Hyperlink"/>
            <w:rFonts w:ascii="Verdana" w:hAnsi="Verdana"/>
          </w:rPr>
          <w:t>the</w:t>
        </w:r>
        <w:r w:rsidR="001701B1">
          <w:rPr>
            <w:rStyle w:val="Hyperlink"/>
            <w:rFonts w:ascii="Verdana" w:hAnsi="Verdana"/>
          </w:rPr>
          <w:t xml:space="preserve"> </w:t>
        </w:r>
        <w:r w:rsidRPr="008167F0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25A8E" w:rsidRPr="008167F0" w14:paraId="6D4CB86C" w14:textId="77777777" w:rsidTr="00363A7C">
        <w:tc>
          <w:tcPr>
            <w:tcW w:w="5000" w:type="pct"/>
            <w:shd w:val="clear" w:color="auto" w:fill="C0C0C0"/>
          </w:tcPr>
          <w:p w14:paraId="1F8FDE37" w14:textId="77777777" w:rsidR="00C25A8E" w:rsidRPr="00121E7C" w:rsidRDefault="00C25A8E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5" w:name="_Toc149848629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Letters</w:t>
            </w:r>
            <w:bookmarkEnd w:id="5"/>
          </w:p>
        </w:tc>
      </w:tr>
    </w:tbl>
    <w:p w14:paraId="334BFC46" w14:textId="77777777" w:rsidR="00723C95" w:rsidRDefault="001151E8" w:rsidP="00723C95">
      <w:pPr>
        <w:rPr>
          <w:rFonts w:ascii="Verdana" w:hAnsi="Verdana"/>
        </w:rPr>
      </w:pPr>
      <w:r w:rsidRPr="000B6501">
        <w:rPr>
          <w:rFonts w:ascii="Verdana" w:hAnsi="Verdana"/>
        </w:rPr>
        <w:t>Below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are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samples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of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beneficiary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and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prescriber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Transition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letter</w:t>
      </w:r>
      <w:r w:rsidR="001701B1" w:rsidRPr="000B6501">
        <w:rPr>
          <w:rFonts w:ascii="Verdana" w:hAnsi="Verdana"/>
        </w:rPr>
        <w:t xml:space="preserve"> </w:t>
      </w:r>
      <w:r w:rsidR="001807A9" w:rsidRPr="000B6501">
        <w:rPr>
          <w:rFonts w:ascii="Verdana" w:hAnsi="Verdana"/>
        </w:rPr>
        <w:t>for</w:t>
      </w:r>
      <w:r w:rsidR="001701B1" w:rsidRPr="000B6501">
        <w:rPr>
          <w:rFonts w:ascii="Verdana" w:hAnsi="Verdana"/>
        </w:rPr>
        <w:t xml:space="preserve"> </w:t>
      </w:r>
      <w:r w:rsidR="001807A9" w:rsidRPr="000B6501">
        <w:rPr>
          <w:rFonts w:ascii="Verdana" w:hAnsi="Verdana"/>
        </w:rPr>
        <w:t>SilverScript</w:t>
      </w:r>
      <w:r w:rsidRPr="000B6501">
        <w:rPr>
          <w:rFonts w:ascii="Verdana" w:hAnsi="Verdana"/>
        </w:rPr>
        <w:t>.</w:t>
      </w:r>
      <w:r w:rsidR="001701B1" w:rsidRPr="000B6501">
        <w:rPr>
          <w:rFonts w:ascii="Verdana" w:hAnsi="Verdana"/>
        </w:rPr>
        <w:t xml:space="preserve"> </w:t>
      </w:r>
      <w:bookmarkStart w:id="6" w:name="OLE_LINK2"/>
      <w:bookmarkStart w:id="7" w:name="OLE_LINK1"/>
    </w:p>
    <w:p w14:paraId="57AA2E52" w14:textId="77777777" w:rsidR="007E1F11" w:rsidRDefault="007E1F11" w:rsidP="007E1F11">
      <w:pPr>
        <w:numPr>
          <w:ilvl w:val="0"/>
          <w:numId w:val="45"/>
        </w:numPr>
        <w:rPr>
          <w:color w:val="000000"/>
        </w:rPr>
      </w:pPr>
      <w:hyperlink r:id="rId13" w:anchor="!/view?docid=d00f49da-d28a-4c30-8f66-e32425bd6c1a" w:tgtFrame="_blank" w:history="1">
        <w:r>
          <w:rPr>
            <w:rStyle w:val="Hyperlink"/>
            <w:rFonts w:ascii="Verdana" w:hAnsi="Verdana"/>
          </w:rPr>
          <w:t>MED D - 2024 SilverScript Transition Fill - Beneficiary Letter</w:t>
        </w:r>
      </w:hyperlink>
    </w:p>
    <w:p w14:paraId="36BFE6F7" w14:textId="77777777" w:rsidR="007E1F11" w:rsidRDefault="007E1F11" w:rsidP="007E1F11">
      <w:pPr>
        <w:numPr>
          <w:ilvl w:val="0"/>
          <w:numId w:val="45"/>
        </w:numPr>
        <w:rPr>
          <w:color w:val="000000"/>
        </w:rPr>
      </w:pPr>
      <w:hyperlink r:id="rId14" w:anchor="!/view?docid=26a71556-fd56-45e1-b1e3-2ac9c148a8a1" w:tgtFrame="_blank" w:history="1">
        <w:r>
          <w:rPr>
            <w:rStyle w:val="Hyperlink"/>
            <w:rFonts w:ascii="Verdana" w:hAnsi="Verdana"/>
          </w:rPr>
          <w:t>MED D - 2024 SilverScript Transition Fill - Prescriber Letter</w:t>
        </w:r>
      </w:hyperlink>
    </w:p>
    <w:p w14:paraId="7B0C7023" w14:textId="77777777" w:rsidR="007E1F11" w:rsidRDefault="007E1F11" w:rsidP="007E1F11">
      <w:pPr>
        <w:numPr>
          <w:ilvl w:val="0"/>
          <w:numId w:val="45"/>
        </w:numPr>
        <w:rPr>
          <w:color w:val="000000"/>
        </w:rPr>
      </w:pPr>
      <w:hyperlink r:id="rId15" w:anchor="!/view?docid=823e236d-74db-440f-86df-4907daf894ec" w:tgtFrame="_blank" w:history="1">
        <w:r>
          <w:rPr>
            <w:rStyle w:val="Hyperlink"/>
            <w:rFonts w:ascii="Verdana" w:hAnsi="Verdana"/>
          </w:rPr>
          <w:t>MED D - 2023 SilverScript Transition Fill - Beneficiary Letter</w:t>
        </w:r>
      </w:hyperlink>
    </w:p>
    <w:p w14:paraId="2736E9D3" w14:textId="77777777" w:rsidR="007E1F11" w:rsidRDefault="007E1F11" w:rsidP="007E1F11">
      <w:pPr>
        <w:numPr>
          <w:ilvl w:val="0"/>
          <w:numId w:val="45"/>
        </w:numPr>
        <w:rPr>
          <w:color w:val="000000"/>
        </w:rPr>
      </w:pPr>
      <w:hyperlink r:id="rId16" w:anchor="!/view?docid=3fd4baca-6997-4ba5-a1d8-afad036c9a2f" w:tgtFrame="_blank" w:history="1">
        <w:r>
          <w:rPr>
            <w:rStyle w:val="Hyperlink"/>
            <w:rFonts w:ascii="Verdana" w:hAnsi="Verdana"/>
          </w:rPr>
          <w:t>MED D - 2023 SilverScript Transition Fill - Prescriber Letter</w:t>
        </w:r>
      </w:hyperlink>
    </w:p>
    <w:bookmarkEnd w:id="6"/>
    <w:bookmarkEnd w:id="7"/>
    <w:p w14:paraId="7382345B" w14:textId="77777777" w:rsidR="00C25A8E" w:rsidRPr="000B6501" w:rsidRDefault="00C25A8E" w:rsidP="008167F0">
      <w:pPr>
        <w:rPr>
          <w:rFonts w:ascii="Verdana" w:hAnsi="Verdana"/>
          <w:b/>
          <w:bCs/>
          <w:color w:val="333333"/>
        </w:rPr>
      </w:pPr>
    </w:p>
    <w:p w14:paraId="651F8BE8" w14:textId="6562BA5E" w:rsidR="00616333" w:rsidRPr="000B6501" w:rsidRDefault="001807A9" w:rsidP="00616333">
      <w:pPr>
        <w:rPr>
          <w:rFonts w:ascii="Verdana" w:hAnsi="Verdana"/>
          <w:bCs/>
          <w:color w:val="333333"/>
        </w:rPr>
      </w:pPr>
      <w:r w:rsidRPr="000B6501">
        <w:rPr>
          <w:rFonts w:ascii="Verdana" w:hAnsi="Verdana"/>
          <w:b/>
          <w:bCs/>
        </w:rPr>
        <w:t>Note:</w:t>
      </w:r>
      <w:r w:rsidR="001701B1" w:rsidRPr="000B6501">
        <w:rPr>
          <w:rFonts w:ascii="Verdana" w:hAnsi="Verdana"/>
          <w:b/>
          <w:bCs/>
        </w:rPr>
        <w:t xml:space="preserve">  </w:t>
      </w:r>
      <w:r w:rsidRPr="000B6501">
        <w:rPr>
          <w:rFonts w:ascii="Verdana" w:hAnsi="Verdana"/>
          <w:bCs/>
        </w:rPr>
        <w:t>To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view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these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Transition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Fill</w:t>
      </w:r>
      <w:r w:rsidR="001701B1" w:rsidRPr="000B6501">
        <w:rPr>
          <w:rFonts w:ascii="Verdana" w:hAnsi="Verdana"/>
          <w:bCs/>
        </w:rPr>
        <w:t xml:space="preserve"> </w:t>
      </w:r>
      <w:proofErr w:type="gramStart"/>
      <w:r w:rsidRPr="000B6501">
        <w:rPr>
          <w:rFonts w:ascii="Verdana" w:hAnsi="Verdana"/>
          <w:bCs/>
        </w:rPr>
        <w:t>letters</w:t>
      </w:r>
      <w:proofErr w:type="gramEnd"/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refer</w:t>
      </w:r>
      <w:r w:rsidR="001701B1" w:rsidRPr="000B6501">
        <w:rPr>
          <w:rFonts w:ascii="Verdana" w:hAnsi="Verdana"/>
          <w:bCs/>
        </w:rPr>
        <w:t xml:space="preserve"> </w:t>
      </w:r>
      <w:r w:rsidRPr="000B6501">
        <w:rPr>
          <w:rFonts w:ascii="Verdana" w:hAnsi="Verdana"/>
          <w:bCs/>
        </w:rPr>
        <w:t>to</w:t>
      </w:r>
      <w:r w:rsidR="001701B1" w:rsidRPr="000B6501">
        <w:rPr>
          <w:rFonts w:ascii="Verdana" w:hAnsi="Verdana"/>
          <w:bCs/>
          <w:color w:val="333333"/>
        </w:rPr>
        <w:t xml:space="preserve"> </w:t>
      </w:r>
      <w:hyperlink r:id="rId17" w:history="1">
        <w:r w:rsidR="00F331CD" w:rsidRPr="00F331CD">
          <w:rPr>
            <w:rStyle w:val="Hyperlink"/>
            <w:rFonts w:ascii="Verdana" w:hAnsi="Verdana"/>
            <w:bCs/>
          </w:rPr>
          <w:t>Compass MED D - Viewing Correspondence and Requesting Reprints</w:t>
        </w:r>
      </w:hyperlink>
      <w:r w:rsidR="00723C95">
        <w:rPr>
          <w:rFonts w:ascii="Verdana" w:hAnsi="Verdana"/>
          <w:bCs/>
          <w:color w:val="333333"/>
        </w:rPr>
        <w:t>.</w:t>
      </w:r>
    </w:p>
    <w:p w14:paraId="06471F12" w14:textId="77777777" w:rsidR="00CF2192" w:rsidRPr="000B6501" w:rsidRDefault="00CF2192" w:rsidP="00CF2192">
      <w:pPr>
        <w:rPr>
          <w:rFonts w:ascii="Verdana" w:hAnsi="Verdana"/>
          <w:bCs/>
          <w:color w:val="333333"/>
        </w:rPr>
      </w:pPr>
    </w:p>
    <w:p w14:paraId="717FBC92" w14:textId="2C77DE74" w:rsidR="00616333" w:rsidRPr="000B6501" w:rsidRDefault="00C20F93" w:rsidP="00CF2192">
      <w:pPr>
        <w:rPr>
          <w:rFonts w:ascii="Verdana" w:hAnsi="Verdana"/>
          <w:bCs/>
          <w:color w:val="333333"/>
        </w:rPr>
      </w:pPr>
      <w:r>
        <w:rPr>
          <w:rFonts w:ascii="Verdana" w:hAnsi="Verdana"/>
          <w:bCs/>
          <w:noProof/>
          <w:color w:val="333333"/>
        </w:rPr>
        <w:drawing>
          <wp:inline distT="0" distB="0" distL="0" distR="0" wp14:anchorId="73B05286" wp14:editId="1FC6E625">
            <wp:extent cx="239395" cy="210820"/>
            <wp:effectExtent l="0" t="0" r="0" b="0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192" w:rsidRPr="000B6501">
        <w:rPr>
          <w:rFonts w:ascii="Verdana" w:hAnsi="Verdana"/>
          <w:bCs/>
          <w:color w:val="333333"/>
        </w:rPr>
        <w:t xml:space="preserve">  </w:t>
      </w:r>
      <w:r w:rsidR="00616333" w:rsidRPr="000B6501">
        <w:rPr>
          <w:rFonts w:ascii="Verdana" w:hAnsi="Verdana"/>
          <w:bCs/>
          <w:color w:val="333333"/>
        </w:rPr>
        <w:t xml:space="preserve">If you are unable to locate the drug </w:t>
      </w:r>
      <w:r w:rsidR="005148B7" w:rsidRPr="000B6501">
        <w:rPr>
          <w:rFonts w:ascii="Verdana" w:hAnsi="Verdana"/>
          <w:bCs/>
          <w:color w:val="333333"/>
        </w:rPr>
        <w:t xml:space="preserve">listed on the letter in </w:t>
      </w:r>
      <w:r w:rsidR="00EF4EBF">
        <w:rPr>
          <w:rFonts w:ascii="Verdana" w:hAnsi="Verdana"/>
          <w:bCs/>
          <w:color w:val="333333"/>
        </w:rPr>
        <w:t>Compass</w:t>
      </w:r>
      <w:r w:rsidR="005148B7" w:rsidRPr="000B6501">
        <w:rPr>
          <w:rFonts w:ascii="Verdana" w:hAnsi="Verdana"/>
          <w:bCs/>
          <w:color w:val="333333"/>
        </w:rPr>
        <w:t xml:space="preserve">, research the claim by the Date Filled listed within the letter. </w:t>
      </w:r>
    </w:p>
    <w:p w14:paraId="4C720E5F" w14:textId="77777777" w:rsidR="001807A9" w:rsidRPr="000B6501" w:rsidRDefault="001807A9" w:rsidP="008167F0">
      <w:pPr>
        <w:rPr>
          <w:rFonts w:ascii="Verdana" w:hAnsi="Verdana"/>
        </w:rPr>
      </w:pPr>
    </w:p>
    <w:p w14:paraId="4E9E2A8D" w14:textId="77777777" w:rsidR="00C25A8E" w:rsidRPr="000B6501" w:rsidRDefault="00C25A8E" w:rsidP="008167F0">
      <w:pPr>
        <w:rPr>
          <w:rFonts w:ascii="Verdana" w:hAnsi="Verdana"/>
          <w:color w:val="000000"/>
        </w:rPr>
      </w:pP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Transition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letter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also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provide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beneficiary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with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</w:t>
      </w:r>
      <w:r w:rsidRPr="000B6501">
        <w:rPr>
          <w:rFonts w:ascii="Verdana" w:hAnsi="Verdana"/>
          <w:color w:val="000000"/>
        </w:rPr>
        <w:t>ne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of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b/>
          <w:color w:val="000000"/>
        </w:rPr>
        <w:t>ten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different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Reason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for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Notification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explanations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based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on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the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type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of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Transition</w:t>
      </w:r>
      <w:r w:rsidR="001701B1" w:rsidRPr="000B6501">
        <w:rPr>
          <w:rFonts w:ascii="Verdana" w:hAnsi="Verdana"/>
          <w:color w:val="000000"/>
        </w:rPr>
        <w:t xml:space="preserve"> </w:t>
      </w:r>
      <w:r w:rsidRPr="000B6501">
        <w:rPr>
          <w:rFonts w:ascii="Verdana" w:hAnsi="Verdana"/>
          <w:color w:val="000000"/>
        </w:rPr>
        <w:t>Fill.</w:t>
      </w:r>
    </w:p>
    <w:p w14:paraId="24D34D79" w14:textId="77777777" w:rsidR="00C25A8E" w:rsidRPr="000B6501" w:rsidRDefault="00C25A8E" w:rsidP="008167F0">
      <w:pPr>
        <w:rPr>
          <w:rFonts w:ascii="Verdana" w:hAnsi="Verdana"/>
        </w:rPr>
      </w:pPr>
    </w:p>
    <w:p w14:paraId="594FE429" w14:textId="77777777" w:rsidR="00C25A8E" w:rsidRPr="000B6501" w:rsidRDefault="009852D6" w:rsidP="008167F0">
      <w:pPr>
        <w:rPr>
          <w:rFonts w:ascii="Verdana" w:hAnsi="Verdana"/>
          <w:color w:val="000000"/>
        </w:rPr>
      </w:pPr>
      <w:r w:rsidRPr="000B6501">
        <w:rPr>
          <w:rFonts w:ascii="Verdana" w:hAnsi="Verdana"/>
          <w:b/>
        </w:rPr>
        <w:t>Note</w:t>
      </w:r>
      <w:r w:rsidR="00C25A8E" w:rsidRPr="000B6501">
        <w:rPr>
          <w:rFonts w:ascii="Verdana" w:hAnsi="Verdana"/>
          <w:b/>
        </w:rPr>
        <w:t>:</w:t>
      </w:r>
      <w:r w:rsidR="001701B1" w:rsidRPr="000B6501">
        <w:rPr>
          <w:rFonts w:ascii="Verdana" w:hAnsi="Verdana"/>
          <w:b/>
        </w:rPr>
        <w:t xml:space="preserve">  </w:t>
      </w:r>
      <w:r w:rsidR="00C25A8E" w:rsidRPr="000B6501">
        <w:rPr>
          <w:rFonts w:ascii="Verdana" w:hAnsi="Verdana"/>
          <w:color w:val="000000"/>
        </w:rPr>
        <w:t>The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drug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status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determines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which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reason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for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notification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is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selected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for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the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transition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fill</w:t>
      </w:r>
      <w:r w:rsidR="001701B1" w:rsidRPr="000B6501">
        <w:rPr>
          <w:rFonts w:ascii="Verdana" w:hAnsi="Verdana"/>
          <w:color w:val="000000"/>
        </w:rPr>
        <w:t xml:space="preserve"> </w:t>
      </w:r>
      <w:r w:rsidR="00C25A8E" w:rsidRPr="000B6501">
        <w:rPr>
          <w:rFonts w:ascii="Verdana" w:hAnsi="Verdana"/>
          <w:color w:val="000000"/>
        </w:rPr>
        <w:t>letter.</w:t>
      </w:r>
    </w:p>
    <w:p w14:paraId="68F0E47D" w14:textId="77777777" w:rsidR="00C25A8E" w:rsidRPr="000B6501" w:rsidRDefault="00C25A8E" w:rsidP="00474631">
      <w:pPr>
        <w:numPr>
          <w:ilvl w:val="0"/>
          <w:numId w:val="5"/>
        </w:numPr>
        <w:rPr>
          <w:rFonts w:ascii="Verdana" w:hAnsi="Verdana"/>
        </w:rPr>
      </w:pPr>
      <w:r w:rsidRPr="000B6501">
        <w:rPr>
          <w:rFonts w:ascii="Verdana" w:hAnsi="Verdana"/>
        </w:rPr>
        <w:t>Part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drugs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  <w:b/>
        </w:rPr>
        <w:t>not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plan’s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formulary</w:t>
      </w:r>
    </w:p>
    <w:p w14:paraId="7C7A8951" w14:textId="77777777" w:rsidR="00C25A8E" w:rsidRPr="000B6501" w:rsidRDefault="00C25A8E" w:rsidP="00474631">
      <w:pPr>
        <w:numPr>
          <w:ilvl w:val="0"/>
          <w:numId w:val="5"/>
        </w:numPr>
        <w:rPr>
          <w:rFonts w:ascii="Verdana" w:hAnsi="Verdana"/>
        </w:rPr>
      </w:pPr>
      <w:r w:rsidRPr="000B6501">
        <w:rPr>
          <w:rFonts w:ascii="Verdana" w:hAnsi="Verdana"/>
        </w:rPr>
        <w:t>Part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drugs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formulary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that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  <w:b/>
        </w:rPr>
        <w:t>require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Step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Therapy</w:t>
      </w:r>
    </w:p>
    <w:p w14:paraId="03F2D693" w14:textId="77777777" w:rsidR="00C25A8E" w:rsidRPr="000B6501" w:rsidRDefault="00C25A8E" w:rsidP="00474631">
      <w:pPr>
        <w:numPr>
          <w:ilvl w:val="0"/>
          <w:numId w:val="5"/>
        </w:numPr>
        <w:rPr>
          <w:rFonts w:ascii="Verdana" w:hAnsi="Verdana"/>
        </w:rPr>
      </w:pPr>
      <w:r w:rsidRPr="000B6501">
        <w:rPr>
          <w:rFonts w:ascii="Verdana" w:hAnsi="Verdana"/>
        </w:rPr>
        <w:t>Part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drugs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formulary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that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are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  <w:b/>
        </w:rPr>
        <w:t>subject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to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Quantity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Limits</w:t>
      </w:r>
    </w:p>
    <w:p w14:paraId="161E797B" w14:textId="77777777" w:rsidR="00C25A8E" w:rsidRPr="000B6501" w:rsidRDefault="00C25A8E" w:rsidP="00474631">
      <w:pPr>
        <w:numPr>
          <w:ilvl w:val="0"/>
          <w:numId w:val="5"/>
        </w:numPr>
        <w:rPr>
          <w:rFonts w:ascii="Verdana" w:hAnsi="Verdana"/>
        </w:rPr>
      </w:pPr>
      <w:r w:rsidRPr="000B6501">
        <w:rPr>
          <w:rFonts w:ascii="Verdana" w:hAnsi="Verdana"/>
        </w:rPr>
        <w:t>Part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drugs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formulary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that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  <w:b/>
        </w:rPr>
        <w:t>require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Prior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Authorization</w:t>
      </w:r>
    </w:p>
    <w:p w14:paraId="2A272061" w14:textId="77777777" w:rsidR="00C25A8E" w:rsidRPr="000B6501" w:rsidRDefault="00C25A8E" w:rsidP="008167F0">
      <w:pPr>
        <w:rPr>
          <w:rFonts w:ascii="Verdana" w:hAnsi="Verdana"/>
          <w:b/>
        </w:rPr>
      </w:pPr>
    </w:p>
    <w:p w14:paraId="3A11E1A9" w14:textId="77777777" w:rsidR="00C25A8E" w:rsidRPr="000B6501" w:rsidRDefault="00C25A8E" w:rsidP="008167F0">
      <w:pPr>
        <w:rPr>
          <w:rFonts w:ascii="Verdana" w:hAnsi="Verdana"/>
          <w:b/>
        </w:rPr>
      </w:pPr>
      <w:r w:rsidRPr="000B6501">
        <w:rPr>
          <w:rFonts w:ascii="Verdana" w:hAnsi="Verdana"/>
          <w:b/>
        </w:rPr>
        <w:t>The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ten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possible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Reason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for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Notification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explanations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are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as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follows:</w:t>
      </w:r>
      <w:r w:rsidR="001701B1" w:rsidRPr="000B6501">
        <w:rPr>
          <w:rFonts w:ascii="Verdana" w:hAnsi="Verdana"/>
          <w:b/>
        </w:rPr>
        <w:t xml:space="preserve">  </w:t>
      </w:r>
    </w:p>
    <w:p w14:paraId="5B0AE19E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 w:cs="Arial"/>
          <w:color w:val="000000"/>
        </w:rPr>
      </w:pPr>
      <w:r w:rsidRPr="000B6501">
        <w:rPr>
          <w:rFonts w:ascii="Verdana" w:hAnsi="Verdana" w:cs="Arial"/>
          <w:color w:val="000000"/>
        </w:rPr>
        <w:t>Requesting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a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Non-formulary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Drug</w:t>
      </w:r>
    </w:p>
    <w:p w14:paraId="4B7E4057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 w:cs="Arial"/>
          <w:color w:val="000000"/>
        </w:rPr>
      </w:pPr>
      <w:r w:rsidRPr="000B6501">
        <w:rPr>
          <w:rFonts w:ascii="Verdana" w:hAnsi="Verdana" w:cs="Arial"/>
          <w:color w:val="000000"/>
        </w:rPr>
        <w:t>Non-formulary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Drug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with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a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Quantity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Limit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for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Safety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Reasons</w:t>
      </w:r>
    </w:p>
    <w:p w14:paraId="4577308F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 w:cs="Arial"/>
          <w:color w:val="000000"/>
        </w:rPr>
      </w:pPr>
      <w:r w:rsidRPr="000B6501">
        <w:rPr>
          <w:rFonts w:ascii="Verdana" w:hAnsi="Verdana" w:cs="Arial"/>
          <w:color w:val="000000"/>
        </w:rPr>
        <w:t>Requesting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a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drug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on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the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formulary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with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a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Plan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Quantity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Limit</w:t>
      </w:r>
    </w:p>
    <w:p w14:paraId="088EA775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 w:cs="Arial"/>
          <w:color w:val="000000"/>
        </w:rPr>
      </w:pPr>
      <w:r w:rsidRPr="000B6501">
        <w:rPr>
          <w:rFonts w:ascii="Verdana" w:hAnsi="Verdana" w:cs="Arial"/>
        </w:rPr>
        <w:t>Requires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  <w:color w:val="000000"/>
        </w:rPr>
        <w:t>Prior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Authorization</w:t>
      </w:r>
    </w:p>
    <w:p w14:paraId="63BAEE3F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/>
        </w:rPr>
      </w:pPr>
      <w:r w:rsidRPr="000B6501">
        <w:rPr>
          <w:rFonts w:ascii="Verdana" w:hAnsi="Verdana" w:cs="Arial"/>
        </w:rPr>
        <w:t>Requires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  <w:color w:val="000000"/>
        </w:rPr>
        <w:t>Step</w:t>
      </w:r>
      <w:r w:rsidR="001701B1" w:rsidRPr="000B6501">
        <w:rPr>
          <w:rFonts w:ascii="Verdana" w:hAnsi="Verdana" w:cs="Arial"/>
          <w:color w:val="000000"/>
        </w:rPr>
        <w:t xml:space="preserve"> </w:t>
      </w:r>
      <w:r w:rsidRPr="000B6501">
        <w:rPr>
          <w:rFonts w:ascii="Verdana" w:hAnsi="Verdana" w:cs="Arial"/>
          <w:color w:val="000000"/>
        </w:rPr>
        <w:t>Therapy</w:t>
      </w:r>
    </w:p>
    <w:p w14:paraId="1552D050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/>
        </w:rPr>
      </w:pPr>
      <w:r w:rsidRPr="000B6501">
        <w:rPr>
          <w:rFonts w:ascii="Verdana" w:hAnsi="Verdana"/>
        </w:rPr>
        <w:t>Requires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that</w:t>
      </w:r>
      <w:r w:rsidR="001701B1" w:rsidRPr="000B6501">
        <w:rPr>
          <w:rFonts w:ascii="Verdana" w:hAnsi="Verdana"/>
        </w:rPr>
        <w:t xml:space="preserve"> </w:t>
      </w:r>
      <w:r w:rsidR="00003785" w:rsidRPr="000B6501">
        <w:rPr>
          <w:rFonts w:ascii="Verdana" w:hAnsi="Verdana"/>
        </w:rPr>
        <w:t>the</w:t>
      </w:r>
      <w:r w:rsidR="001701B1" w:rsidRPr="000B6501">
        <w:rPr>
          <w:rFonts w:ascii="Verdana" w:hAnsi="Verdana"/>
        </w:rPr>
        <w:t xml:space="preserve"> </w:t>
      </w:r>
      <w:r w:rsidR="00003785" w:rsidRPr="000B6501">
        <w:rPr>
          <w:rFonts w:ascii="Verdana" w:hAnsi="Verdana"/>
        </w:rPr>
        <w:t>beneficiary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try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generic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first</w:t>
      </w:r>
    </w:p>
    <w:p w14:paraId="250E5658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/>
        </w:rPr>
      </w:pPr>
      <w:r w:rsidRPr="000B6501">
        <w:rPr>
          <w:rFonts w:ascii="Verdana" w:hAnsi="Verdana" w:cs="Arial"/>
        </w:rPr>
        <w:t>Non-formulary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drug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with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non-safety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related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quantity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limits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(Optional)</w:t>
      </w:r>
    </w:p>
    <w:p w14:paraId="32133A2C" w14:textId="77777777" w:rsidR="00C25A8E" w:rsidRPr="000B6501" w:rsidRDefault="00C25A8E" w:rsidP="00474631">
      <w:pPr>
        <w:numPr>
          <w:ilvl w:val="0"/>
          <w:numId w:val="6"/>
        </w:numPr>
        <w:rPr>
          <w:rFonts w:ascii="Verdana" w:hAnsi="Verdana"/>
        </w:rPr>
      </w:pPr>
      <w:r w:rsidRPr="000B6501">
        <w:rPr>
          <w:rFonts w:ascii="Verdana" w:hAnsi="Verdana" w:cs="Arial"/>
        </w:rPr>
        <w:t>Not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Formulary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Emergency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Level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Care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Change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(Optional)</w:t>
      </w:r>
    </w:p>
    <w:p w14:paraId="26AB7969" w14:textId="77777777" w:rsidR="00003785" w:rsidRPr="000B6501" w:rsidRDefault="00003785" w:rsidP="008167F0">
      <w:pPr>
        <w:rPr>
          <w:rFonts w:ascii="Verdana" w:hAnsi="Verdana"/>
        </w:rPr>
      </w:pPr>
    </w:p>
    <w:p w14:paraId="1B5D794E" w14:textId="77777777" w:rsidR="00C25A8E" w:rsidRPr="000B6501" w:rsidRDefault="00C25A8E" w:rsidP="008167F0">
      <w:pPr>
        <w:rPr>
          <w:rFonts w:ascii="Verdana" w:hAnsi="Verdana"/>
          <w:b/>
        </w:rPr>
      </w:pPr>
      <w:r w:rsidRPr="000B6501">
        <w:rPr>
          <w:rFonts w:ascii="Verdana" w:hAnsi="Verdana"/>
          <w:b/>
        </w:rPr>
        <w:t>LTC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Residents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Only</w:t>
      </w:r>
      <w:r w:rsidR="00CF060A" w:rsidRPr="000B6501">
        <w:rPr>
          <w:rFonts w:ascii="Verdana" w:hAnsi="Verdana"/>
          <w:b/>
        </w:rPr>
        <w:t>:</w:t>
      </w:r>
      <w:r w:rsidR="001701B1" w:rsidRPr="000B6501">
        <w:rPr>
          <w:rFonts w:ascii="Verdana" w:hAnsi="Verdana"/>
          <w:b/>
        </w:rPr>
        <w:t xml:space="preserve">  </w:t>
      </w:r>
    </w:p>
    <w:p w14:paraId="6C0355BD" w14:textId="77777777" w:rsidR="00C25A8E" w:rsidRPr="000B6501" w:rsidRDefault="00C25A8E" w:rsidP="00474631">
      <w:pPr>
        <w:numPr>
          <w:ilvl w:val="0"/>
          <w:numId w:val="7"/>
        </w:numPr>
        <w:rPr>
          <w:rFonts w:ascii="Verdana" w:hAnsi="Verdana"/>
        </w:rPr>
      </w:pPr>
      <w:r w:rsidRPr="000B6501">
        <w:rPr>
          <w:rFonts w:ascii="Verdana" w:hAnsi="Verdana"/>
        </w:rPr>
        <w:t>Requires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Prior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Authorization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–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Emergency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Fill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and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Level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of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Care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Change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(Optional)</w:t>
      </w:r>
    </w:p>
    <w:p w14:paraId="56FD1A89" w14:textId="77777777" w:rsidR="00C25A8E" w:rsidRPr="000B6501" w:rsidRDefault="00C25A8E" w:rsidP="00474631">
      <w:pPr>
        <w:numPr>
          <w:ilvl w:val="0"/>
          <w:numId w:val="7"/>
        </w:numPr>
        <w:rPr>
          <w:rFonts w:ascii="Verdana" w:hAnsi="Verdana"/>
        </w:rPr>
      </w:pPr>
      <w:r w:rsidRPr="000B6501">
        <w:rPr>
          <w:rFonts w:ascii="Verdana" w:hAnsi="Verdana" w:cs="Arial"/>
        </w:rPr>
        <w:t>Requires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Step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Therapy-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Emergency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Level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Care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Change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(Optional)</w:t>
      </w:r>
    </w:p>
    <w:p w14:paraId="46EFE2BE" w14:textId="77777777" w:rsidR="00C25A8E" w:rsidRDefault="00C25A8E" w:rsidP="008167F0">
      <w:pPr>
        <w:jc w:val="right"/>
        <w:rPr>
          <w:rFonts w:ascii="Verdana" w:hAnsi="Verdana"/>
        </w:rPr>
      </w:pPr>
    </w:p>
    <w:p w14:paraId="7BDA7F37" w14:textId="77777777" w:rsidR="00820709" w:rsidRPr="000B6501" w:rsidRDefault="00820709" w:rsidP="00820709">
      <w:pPr>
        <w:rPr>
          <w:rFonts w:ascii="Verdana" w:hAnsi="Verdana"/>
        </w:rPr>
      </w:pPr>
    </w:p>
    <w:bookmarkStart w:id="8" w:name="OLE_LINK4"/>
    <w:p w14:paraId="084F6C47" w14:textId="77777777" w:rsidR="00806B9D" w:rsidRPr="000B6501" w:rsidRDefault="00DE3B2B" w:rsidP="008167F0">
      <w:pPr>
        <w:jc w:val="right"/>
        <w:rPr>
          <w:rFonts w:ascii="Verdana" w:hAnsi="Verdana"/>
        </w:rPr>
      </w:pPr>
      <w:r w:rsidRPr="000B6501">
        <w:rPr>
          <w:rFonts w:ascii="Verdana" w:hAnsi="Verdana"/>
        </w:rPr>
        <w:fldChar w:fldCharType="begin"/>
      </w:r>
      <w:r w:rsidR="007A7591" w:rsidRPr="000B6501">
        <w:rPr>
          <w:rFonts w:ascii="Verdana" w:hAnsi="Verdana"/>
        </w:rPr>
        <w:instrText>HYPERLINK  \l "_top"</w:instrText>
      </w:r>
      <w:r w:rsidRPr="000B6501">
        <w:rPr>
          <w:rFonts w:ascii="Verdana" w:hAnsi="Verdana"/>
        </w:rPr>
      </w:r>
      <w:r w:rsidRPr="000B6501">
        <w:rPr>
          <w:rFonts w:ascii="Verdana" w:hAnsi="Verdana"/>
        </w:rPr>
        <w:fldChar w:fldCharType="separate"/>
      </w:r>
      <w:r w:rsidR="00196DE7" w:rsidRPr="000B6501">
        <w:rPr>
          <w:rStyle w:val="Hyperlink"/>
          <w:rFonts w:ascii="Verdana" w:hAnsi="Verdana"/>
        </w:rPr>
        <w:t>Top</w:t>
      </w:r>
      <w:r w:rsidR="001701B1" w:rsidRPr="000B6501">
        <w:rPr>
          <w:rStyle w:val="Hyperlink"/>
          <w:rFonts w:ascii="Verdana" w:hAnsi="Verdana"/>
        </w:rPr>
        <w:t xml:space="preserve"> </w:t>
      </w:r>
      <w:r w:rsidR="00196DE7" w:rsidRPr="000B6501">
        <w:rPr>
          <w:rStyle w:val="Hyperlink"/>
          <w:rFonts w:ascii="Verdana" w:hAnsi="Verdana"/>
        </w:rPr>
        <w:t>of</w:t>
      </w:r>
      <w:r w:rsidR="001701B1" w:rsidRPr="000B6501">
        <w:rPr>
          <w:rStyle w:val="Hyperlink"/>
          <w:rFonts w:ascii="Verdana" w:hAnsi="Verdana"/>
        </w:rPr>
        <w:t xml:space="preserve"> </w:t>
      </w:r>
      <w:r w:rsidR="00196DE7" w:rsidRPr="000B6501">
        <w:rPr>
          <w:rStyle w:val="Hyperlink"/>
          <w:rFonts w:ascii="Verdana" w:hAnsi="Verdana"/>
        </w:rPr>
        <w:t>the</w:t>
      </w:r>
      <w:r w:rsidR="001701B1" w:rsidRPr="000B6501">
        <w:rPr>
          <w:rStyle w:val="Hyperlink"/>
          <w:rFonts w:ascii="Verdana" w:hAnsi="Verdana"/>
        </w:rPr>
        <w:t xml:space="preserve"> </w:t>
      </w:r>
      <w:r w:rsidR="00196DE7" w:rsidRPr="000B6501">
        <w:rPr>
          <w:rStyle w:val="Hyperlink"/>
          <w:rFonts w:ascii="Verdana" w:hAnsi="Verdana"/>
        </w:rPr>
        <w:t>Document</w:t>
      </w:r>
      <w:r w:rsidRPr="000B6501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8167F0" w14:paraId="24B0A578" w14:textId="77777777" w:rsidTr="002D4571">
        <w:tc>
          <w:tcPr>
            <w:tcW w:w="5000" w:type="pct"/>
            <w:shd w:val="clear" w:color="auto" w:fill="C0C0C0"/>
          </w:tcPr>
          <w:p w14:paraId="69F986AE" w14:textId="6FB638D2" w:rsidR="00A97B7D" w:rsidRPr="00121E7C" w:rsidRDefault="00260C10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9" w:name="_Transition_Fills_(Non-formulary"/>
            <w:bookmarkStart w:id="10" w:name="_Transition_Fills_Process"/>
            <w:bookmarkStart w:id="11" w:name="_Toc149848630"/>
            <w:bookmarkEnd w:id="9"/>
            <w:bookmarkEnd w:id="10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="00820709">
              <w:rPr>
                <w:rFonts w:ascii="Verdana" w:hAnsi="Verdana"/>
                <w:i w:val="0"/>
              </w:rPr>
              <w:t>Process</w:t>
            </w:r>
            <w:bookmarkEnd w:id="11"/>
            <w:r w:rsidR="00820709">
              <w:rPr>
                <w:rFonts w:ascii="Verdana" w:hAnsi="Verdana"/>
                <w:i w:val="0"/>
              </w:rPr>
              <w:t xml:space="preserve"> </w:t>
            </w:r>
          </w:p>
        </w:tc>
      </w:tr>
      <w:bookmarkEnd w:id="8"/>
    </w:tbl>
    <w:p w14:paraId="27C8A16C" w14:textId="3517C3BF" w:rsidR="00641AC4" w:rsidRDefault="00641AC4" w:rsidP="008167F0">
      <w:pPr>
        <w:autoSpaceDE w:val="0"/>
        <w:autoSpaceDN w:val="0"/>
        <w:adjustRightInd w:val="0"/>
        <w:rPr>
          <w:rFonts w:ascii="Verdana" w:hAnsi="Verdana" w:cs="Arial"/>
        </w:rPr>
      </w:pPr>
    </w:p>
    <w:p w14:paraId="56E561E2" w14:textId="77777777" w:rsidR="000F4311" w:rsidRDefault="000F4311" w:rsidP="000F4311">
      <w:p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 xml:space="preserve">A transition </w:t>
      </w:r>
      <w:proofErr w:type="gramStart"/>
      <w:r>
        <w:rPr>
          <w:rFonts w:ascii="Verdana" w:hAnsi="Verdana" w:cs="Arial"/>
        </w:rPr>
        <w:t>fill</w:t>
      </w:r>
      <w:proofErr w:type="gramEnd"/>
      <w:r>
        <w:rPr>
          <w:rFonts w:ascii="Verdana" w:hAnsi="Verdana" w:cs="Arial"/>
        </w:rPr>
        <w:t xml:space="preserve"> for up to at least 30 days will be allowed for existing beneficiaries, during the first 90 days of the new benefit plan year.</w:t>
      </w:r>
    </w:p>
    <w:p w14:paraId="38E8F70A" w14:textId="77777777" w:rsidR="00EF2250" w:rsidRDefault="00EF2250" w:rsidP="000F4311">
      <w:pPr>
        <w:autoSpaceDE w:val="0"/>
        <w:autoSpaceDN w:val="0"/>
        <w:adjustRightInd w:val="0"/>
        <w:rPr>
          <w:rFonts w:ascii="Verdana" w:hAnsi="Verdana" w:cs="Arial"/>
        </w:rPr>
      </w:pPr>
    </w:p>
    <w:p w14:paraId="5C5A0F9A" w14:textId="77777777" w:rsidR="000F4311" w:rsidRPr="00EF2250" w:rsidRDefault="00EF2250" w:rsidP="00EF2250">
      <w:pPr>
        <w:tabs>
          <w:tab w:val="left" w:pos="5400"/>
        </w:tabs>
        <w:autoSpaceDE w:val="0"/>
        <w:autoSpaceDN w:val="0"/>
        <w:adjustRightInd w:val="0"/>
        <w:rPr>
          <w:rFonts w:ascii="Verdana" w:hAnsi="Verdana" w:cs="Arial,BoldItalic"/>
          <w:bCs/>
          <w:iCs/>
        </w:rPr>
      </w:pPr>
      <w:r w:rsidRPr="000B6501">
        <w:rPr>
          <w:rFonts w:ascii="Verdana" w:hAnsi="Verdana"/>
          <w:b/>
        </w:rPr>
        <w:t xml:space="preserve">Note:  </w:t>
      </w:r>
      <w:r w:rsidRPr="000B6501">
        <w:rPr>
          <w:rFonts w:ascii="Verdana" w:hAnsi="Verdana" w:cs="Arial,BoldItalic"/>
          <w:bCs/>
          <w:iCs/>
        </w:rPr>
        <w:t xml:space="preserve">A </w:t>
      </w:r>
      <w:proofErr w:type="gramStart"/>
      <w:r w:rsidRPr="000B6501">
        <w:rPr>
          <w:rFonts w:ascii="Verdana" w:hAnsi="Verdana" w:cs="Arial,BoldItalic"/>
          <w:bCs/>
          <w:iCs/>
        </w:rPr>
        <w:t>Long Term</w:t>
      </w:r>
      <w:proofErr w:type="gramEnd"/>
      <w:r w:rsidRPr="000B6501">
        <w:rPr>
          <w:rFonts w:ascii="Verdana" w:hAnsi="Verdana" w:cs="Arial,BoldItalic"/>
          <w:bCs/>
          <w:iCs/>
        </w:rPr>
        <w:t xml:space="preserve"> Care beneficiary receives up to at least a 31-day supply.</w:t>
      </w:r>
      <w:r w:rsidRPr="000B6501">
        <w:rPr>
          <w:rFonts w:ascii="Verdana" w:hAnsi="Verdana" w:cs="Arial"/>
        </w:rPr>
        <w:t xml:space="preserve"> </w:t>
      </w:r>
    </w:p>
    <w:p w14:paraId="0615600A" w14:textId="77777777" w:rsidR="00093642" w:rsidRPr="000B6501" w:rsidRDefault="00093642" w:rsidP="008167F0">
      <w:pPr>
        <w:autoSpaceDE w:val="0"/>
        <w:autoSpaceDN w:val="0"/>
        <w:adjustRightInd w:val="0"/>
        <w:rPr>
          <w:rFonts w:ascii="Verdana" w:hAnsi="Verdana" w:cs="Arial"/>
        </w:rPr>
      </w:pPr>
      <w:bookmarkStart w:id="12" w:name="OLE_LINK5"/>
    </w:p>
    <w:p w14:paraId="7D1211FB" w14:textId="77777777" w:rsidR="00820709" w:rsidRDefault="00820709" w:rsidP="00820709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Perform the steps below to identify Transition Fill</w:t>
      </w:r>
      <w:r w:rsidR="00EF0835">
        <w:rPr>
          <w:rFonts w:ascii="Verdana" w:hAnsi="Verdana"/>
        </w:rPr>
        <w:t>s</w:t>
      </w:r>
      <w:r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3057"/>
        <w:gridCol w:w="1103"/>
        <w:gridCol w:w="2316"/>
        <w:gridCol w:w="5703"/>
      </w:tblGrid>
      <w:tr w:rsidR="003A3CFD" w:rsidRPr="000B6501" w14:paraId="4513A7FA" w14:textId="77777777" w:rsidTr="002E12F0">
        <w:tc>
          <w:tcPr>
            <w:tcW w:w="1326" w:type="dxa"/>
            <w:shd w:val="pct10" w:color="auto" w:fill="auto"/>
          </w:tcPr>
          <w:p w14:paraId="3948CCC9" w14:textId="77777777" w:rsidR="00D471B5" w:rsidRPr="000B6501" w:rsidRDefault="00EB52F0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Step</w:t>
            </w:r>
          </w:p>
        </w:tc>
        <w:tc>
          <w:tcPr>
            <w:tcW w:w="27508" w:type="dxa"/>
            <w:gridSpan w:val="4"/>
            <w:shd w:val="pct10" w:color="auto" w:fill="auto"/>
          </w:tcPr>
          <w:p w14:paraId="38E50593" w14:textId="77777777" w:rsidR="00D471B5" w:rsidRPr="000B6501" w:rsidRDefault="00EB52F0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Action</w:t>
            </w:r>
          </w:p>
        </w:tc>
      </w:tr>
      <w:bookmarkEnd w:id="12"/>
      <w:tr w:rsidR="003A3CFD" w:rsidRPr="000B6501" w14:paraId="03833F80" w14:textId="77777777" w:rsidTr="002E12F0">
        <w:trPr>
          <w:trHeight w:val="57"/>
        </w:trPr>
        <w:tc>
          <w:tcPr>
            <w:tcW w:w="1326" w:type="dxa"/>
            <w:vMerge w:val="restart"/>
          </w:tcPr>
          <w:p w14:paraId="1E1FF7EA" w14:textId="77777777" w:rsidR="00CF060A" w:rsidRPr="000B6501" w:rsidRDefault="00276E81" w:rsidP="008167F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27508" w:type="dxa"/>
            <w:gridSpan w:val="4"/>
            <w:tcBorders>
              <w:bottom w:val="single" w:sz="4" w:space="0" w:color="auto"/>
            </w:tcBorders>
          </w:tcPr>
          <w:p w14:paraId="4B769A88" w14:textId="6E2CAEB8" w:rsidR="00CF060A" w:rsidRDefault="00386827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>
              <w:rPr>
                <w:rFonts w:ascii="Verdana" w:hAnsi="Verdana" w:cs="Symbol"/>
              </w:rPr>
              <w:t xml:space="preserve">From the </w:t>
            </w:r>
            <w:r w:rsidRPr="00F331CD">
              <w:rPr>
                <w:rFonts w:ascii="Verdana" w:hAnsi="Verdana" w:cs="Symbol"/>
              </w:rPr>
              <w:t>Claims Landing Page</w:t>
            </w:r>
            <w:r w:rsidR="00CF060A" w:rsidRPr="000B6501">
              <w:rPr>
                <w:rFonts w:ascii="Verdana" w:hAnsi="Verdana" w:cs="Symbol"/>
              </w:rPr>
              <w:t>,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locate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claim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in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question.</w:t>
            </w:r>
          </w:p>
          <w:p w14:paraId="20133B09" w14:textId="77777777" w:rsidR="00515B58" w:rsidRDefault="00515B58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  <w:p w14:paraId="1CCC83C4" w14:textId="5C1D671C" w:rsidR="00515B58" w:rsidRPr="000B6501" w:rsidRDefault="00C20F93" w:rsidP="00515B58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</w:rPr>
            </w:pPr>
            <w:r>
              <w:rPr>
                <w:noProof/>
              </w:rPr>
              <w:drawing>
                <wp:inline distT="0" distB="0" distL="0" distR="0" wp14:anchorId="4E5AE301" wp14:editId="23E9D1AC">
                  <wp:extent cx="8222615" cy="2412365"/>
                  <wp:effectExtent l="19050" t="19050" r="6985" b="6985"/>
                  <wp:docPr id="6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2615" cy="241236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CE7B238" w14:textId="77777777" w:rsidR="00922944" w:rsidRPr="000B6501" w:rsidRDefault="00922944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  <w:p w14:paraId="0FACFB25" w14:textId="77777777" w:rsidR="00CF060A" w:rsidRPr="000B6501" w:rsidRDefault="009852D6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  <w:b/>
              </w:rPr>
              <w:t>Note</w:t>
            </w:r>
            <w:r w:rsidR="00CF060A" w:rsidRPr="000B6501">
              <w:rPr>
                <w:rFonts w:ascii="Verdana" w:hAnsi="Verdana" w:cs="Symbol"/>
                <w:b/>
              </w:rPr>
              <w:t>:</w:t>
            </w:r>
            <w:r w:rsidR="001701B1" w:rsidRPr="000B6501">
              <w:rPr>
                <w:rFonts w:ascii="Verdana" w:hAnsi="Verdana" w:cs="Symbol"/>
                <w:b/>
              </w:rPr>
              <w:t xml:space="preserve">  </w:t>
            </w:r>
            <w:r w:rsidR="00CF060A" w:rsidRPr="000B6501">
              <w:rPr>
                <w:rFonts w:ascii="Verdana" w:hAnsi="Verdana" w:cs="Symbol"/>
              </w:rPr>
              <w:t>For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  <w:b/>
              </w:rPr>
              <w:t>FIRST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proofErr w:type="gramStart"/>
            <w:r w:rsidR="00CF060A" w:rsidRPr="000B6501">
              <w:rPr>
                <w:rFonts w:ascii="Verdana" w:hAnsi="Verdana" w:cs="Symbol"/>
              </w:rPr>
              <w:t>fill</w:t>
            </w:r>
            <w:proofErr w:type="gramEnd"/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of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year,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claim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will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  <w:b/>
              </w:rPr>
              <w:t>NOT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be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="00CF060A" w:rsidRPr="000B6501">
              <w:rPr>
                <w:rFonts w:ascii="Verdana" w:hAnsi="Verdana" w:cs="Symbol"/>
              </w:rPr>
              <w:t>rejected.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</w:p>
          <w:p w14:paraId="7A2B6406" w14:textId="77777777" w:rsidR="00CF060A" w:rsidRPr="000B6501" w:rsidRDefault="00CF060A" w:rsidP="00474631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adjudication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system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will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allow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medication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to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pay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for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transition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fill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(according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to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the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set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guidelines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Symbol"/>
              </w:rPr>
              <w:t>-</w:t>
            </w:r>
            <w:r w:rsidR="001701B1" w:rsidRPr="000B6501">
              <w:rPr>
                <w:rFonts w:ascii="Verdana" w:hAnsi="Verdana" w:cs="Symbol"/>
              </w:rPr>
              <w:t xml:space="preserve"> </w:t>
            </w:r>
            <w:r w:rsidRPr="000B6501">
              <w:rPr>
                <w:rFonts w:ascii="Verdana" w:hAnsi="Verdana" w:cs="Arial"/>
              </w:rPr>
              <w:t>see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introduction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section).</w:t>
            </w:r>
          </w:p>
          <w:p w14:paraId="6DA9331D" w14:textId="77777777" w:rsidR="00CF060A" w:rsidRPr="000B6501" w:rsidRDefault="00CF060A" w:rsidP="00474631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prescriber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151E8"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151E8" w:rsidRPr="000B6501">
              <w:rPr>
                <w:rFonts w:ascii="Verdana" w:hAnsi="Verdana" w:cs="Arial"/>
              </w:rPr>
              <w:t>sent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letter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explaining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guidelines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within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three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business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days.</w:t>
            </w:r>
          </w:p>
          <w:p w14:paraId="0F1ABFF9" w14:textId="77777777" w:rsidR="00CF060A" w:rsidRPr="000B6501" w:rsidRDefault="00CF060A" w:rsidP="00474631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If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tries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obtain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beyond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limits,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gramStart"/>
            <w:r w:rsidRPr="000B6501">
              <w:rPr>
                <w:rFonts w:ascii="Verdana" w:hAnsi="Verdana" w:cs="Arial"/>
              </w:rPr>
              <w:t>reject</w:t>
            </w:r>
            <w:proofErr w:type="gramEnd"/>
            <w:r w:rsidRPr="000B6501">
              <w:rPr>
                <w:rFonts w:ascii="Verdana" w:hAnsi="Verdana" w:cs="Arial"/>
              </w:rPr>
              <w:t>.</w:t>
            </w:r>
          </w:p>
          <w:p w14:paraId="10435E3F" w14:textId="77777777" w:rsidR="000B6501" w:rsidRPr="000B6501" w:rsidRDefault="000B6501" w:rsidP="000B6501">
            <w:pPr>
              <w:autoSpaceDE w:val="0"/>
              <w:autoSpaceDN w:val="0"/>
              <w:adjustRightInd w:val="0"/>
              <w:ind w:left="720"/>
              <w:rPr>
                <w:rFonts w:ascii="Verdana" w:hAnsi="Verdana" w:cs="Symbol"/>
              </w:rPr>
            </w:pPr>
          </w:p>
        </w:tc>
      </w:tr>
      <w:tr w:rsidR="00443763" w:rsidRPr="000B6501" w14:paraId="4275731F" w14:textId="77777777" w:rsidTr="002E12F0">
        <w:trPr>
          <w:trHeight w:val="57"/>
        </w:trPr>
        <w:tc>
          <w:tcPr>
            <w:tcW w:w="1326" w:type="dxa"/>
            <w:vMerge/>
          </w:tcPr>
          <w:p w14:paraId="5D27D635" w14:textId="77777777" w:rsidR="00CF060A" w:rsidRPr="000B6501" w:rsidRDefault="00CF060A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46" w:type="dxa"/>
            <w:gridSpan w:val="2"/>
            <w:shd w:val="pct10" w:color="auto" w:fill="auto"/>
          </w:tcPr>
          <w:p w14:paraId="5C519EBF" w14:textId="77777777" w:rsidR="00CF060A" w:rsidRPr="000B6501" w:rsidRDefault="00CF060A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/>
                <w:b/>
              </w:rPr>
              <w:t>If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the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beneficiary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is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questioning…</w:t>
            </w:r>
          </w:p>
        </w:tc>
        <w:tc>
          <w:tcPr>
            <w:tcW w:w="20762" w:type="dxa"/>
            <w:gridSpan w:val="2"/>
            <w:shd w:val="pct10" w:color="auto" w:fill="auto"/>
          </w:tcPr>
          <w:p w14:paraId="4243EA04" w14:textId="77777777" w:rsidR="00CF060A" w:rsidRPr="000B6501" w:rsidRDefault="00CF060A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 w:cs="Symbol"/>
                <w:b/>
              </w:rPr>
              <w:t>Then…</w:t>
            </w:r>
          </w:p>
        </w:tc>
      </w:tr>
      <w:tr w:rsidR="00443763" w:rsidRPr="000B6501" w14:paraId="04AFF884" w14:textId="77777777" w:rsidTr="002E12F0">
        <w:trPr>
          <w:trHeight w:val="57"/>
        </w:trPr>
        <w:tc>
          <w:tcPr>
            <w:tcW w:w="1326" w:type="dxa"/>
            <w:vMerge/>
          </w:tcPr>
          <w:p w14:paraId="2ECE33AB" w14:textId="77777777" w:rsidR="00CF060A" w:rsidRPr="000B6501" w:rsidRDefault="00CF060A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46" w:type="dxa"/>
            <w:gridSpan w:val="2"/>
          </w:tcPr>
          <w:p w14:paraId="37A104EF" w14:textId="77777777" w:rsidR="00CF060A" w:rsidRPr="000B6501" w:rsidRDefault="00CF060A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letter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93642">
              <w:rPr>
                <w:rFonts w:ascii="Verdana" w:hAnsi="Verdana"/>
              </w:rPr>
              <w:t>they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received</w:t>
            </w:r>
          </w:p>
        </w:tc>
        <w:tc>
          <w:tcPr>
            <w:tcW w:w="20762" w:type="dxa"/>
            <w:gridSpan w:val="2"/>
          </w:tcPr>
          <w:p w14:paraId="37470830" w14:textId="22B9C271" w:rsidR="00CF060A" w:rsidRPr="000B6501" w:rsidRDefault="00C20F93" w:rsidP="008167F0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FC36ED0" wp14:editId="6A0025DF">
                  <wp:extent cx="239395" cy="210820"/>
                  <wp:effectExtent l="0" t="0" r="0" b="0"/>
                  <wp:docPr id="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1D83A" w14:textId="77777777" w:rsidR="00CF060A" w:rsidRPr="000B6501" w:rsidRDefault="00CF060A" w:rsidP="00474631">
            <w:pPr>
              <w:numPr>
                <w:ilvl w:val="0"/>
                <w:numId w:val="10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longer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under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plan.</w:t>
            </w:r>
          </w:p>
          <w:p w14:paraId="36A10B27" w14:textId="77777777" w:rsidR="00CF060A" w:rsidRPr="000B6501" w:rsidRDefault="00CF060A" w:rsidP="00474631">
            <w:pPr>
              <w:numPr>
                <w:ilvl w:val="0"/>
                <w:numId w:val="10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I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happy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alternatives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available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medication.</w:t>
            </w:r>
          </w:p>
          <w:p w14:paraId="5B35A817" w14:textId="77777777" w:rsidR="005877E7" w:rsidRPr="000B6501" w:rsidRDefault="005877E7" w:rsidP="00CC5864">
            <w:pPr>
              <w:textAlignment w:val="top"/>
              <w:rPr>
                <w:rFonts w:ascii="Verdana" w:hAnsi="Verdana"/>
              </w:rPr>
            </w:pPr>
          </w:p>
          <w:p w14:paraId="347E5ACA" w14:textId="77777777" w:rsidR="00CC5864" w:rsidRPr="000B6501" w:rsidRDefault="00CC5864" w:rsidP="00CC5864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Proceed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next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step.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6E6DC874" w14:textId="77777777" w:rsidR="00CF060A" w:rsidRPr="000B6501" w:rsidRDefault="00CF060A" w:rsidP="00FF464F">
            <w:pPr>
              <w:autoSpaceDE w:val="0"/>
              <w:autoSpaceDN w:val="0"/>
              <w:adjustRightInd w:val="0"/>
              <w:ind w:left="360"/>
              <w:rPr>
                <w:rFonts w:ascii="Verdana" w:hAnsi="Verdana" w:cs="Symbol"/>
              </w:rPr>
            </w:pPr>
          </w:p>
        </w:tc>
      </w:tr>
      <w:tr w:rsidR="00443763" w:rsidRPr="000B6501" w14:paraId="134CCC43" w14:textId="77777777" w:rsidTr="002E12F0">
        <w:trPr>
          <w:trHeight w:val="57"/>
        </w:trPr>
        <w:tc>
          <w:tcPr>
            <w:tcW w:w="1326" w:type="dxa"/>
            <w:vMerge/>
          </w:tcPr>
          <w:p w14:paraId="6DDD827E" w14:textId="77777777" w:rsidR="00CF060A" w:rsidRPr="000B6501" w:rsidRDefault="00CF060A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46" w:type="dxa"/>
            <w:gridSpan w:val="2"/>
          </w:tcPr>
          <w:p w14:paraId="65E411DC" w14:textId="77777777" w:rsidR="00CF060A" w:rsidRPr="000B6501" w:rsidRDefault="00CF060A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rejected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</w:t>
            </w:r>
          </w:p>
        </w:tc>
        <w:tc>
          <w:tcPr>
            <w:tcW w:w="20762" w:type="dxa"/>
            <w:gridSpan w:val="2"/>
          </w:tcPr>
          <w:p w14:paraId="798E08F3" w14:textId="77777777" w:rsidR="00CF060A" w:rsidRDefault="00CF060A" w:rsidP="008167F0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Proceed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next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step.</w:t>
            </w:r>
          </w:p>
          <w:p w14:paraId="58FA3EEC" w14:textId="77777777" w:rsidR="00093642" w:rsidRPr="000B6501" w:rsidRDefault="00093642" w:rsidP="008167F0">
            <w:p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</w:p>
        </w:tc>
      </w:tr>
      <w:tr w:rsidR="003A3CFD" w:rsidRPr="000B6501" w14:paraId="2BA434C8" w14:textId="77777777" w:rsidTr="002E12F0">
        <w:tc>
          <w:tcPr>
            <w:tcW w:w="1326" w:type="dxa"/>
          </w:tcPr>
          <w:p w14:paraId="0444E8BB" w14:textId="77777777" w:rsidR="000B48D2" w:rsidRPr="000B6501" w:rsidRDefault="00276E81" w:rsidP="008167F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27508" w:type="dxa"/>
            <w:gridSpan w:val="4"/>
          </w:tcPr>
          <w:p w14:paraId="62A0FEDC" w14:textId="4B06A71D" w:rsidR="000B48D2" w:rsidRPr="000B6501" w:rsidRDefault="000B48D2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Click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Prescription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Number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515B58" w:rsidRPr="00515B58">
              <w:rPr>
                <w:rFonts w:ascii="Verdana" w:hAnsi="Verdana"/>
                <w:bCs/>
              </w:rPr>
              <w:t>hyper</w:t>
            </w:r>
            <w:r w:rsidRPr="00515B58">
              <w:rPr>
                <w:rFonts w:ascii="Verdana" w:hAnsi="Verdana"/>
                <w:bCs/>
              </w:rPr>
              <w:t>link</w:t>
            </w:r>
            <w:r w:rsidRPr="000B6501">
              <w:rPr>
                <w:rFonts w:ascii="Verdana" w:hAnsi="Verdana"/>
              </w:rPr>
              <w:t>.</w:t>
            </w:r>
          </w:p>
          <w:p w14:paraId="555E2F36" w14:textId="77777777" w:rsidR="000B48D2" w:rsidRDefault="000B48D2" w:rsidP="008167F0">
            <w:pPr>
              <w:textAlignment w:val="top"/>
              <w:rPr>
                <w:rFonts w:ascii="Verdana" w:hAnsi="Verdana"/>
              </w:rPr>
            </w:pPr>
          </w:p>
          <w:p w14:paraId="19461D09" w14:textId="7CCA9386" w:rsidR="00515B58" w:rsidRDefault="00C20F93" w:rsidP="00515B58">
            <w:pPr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7EE60C" wp14:editId="29A3679C">
                  <wp:extent cx="8222615" cy="2412365"/>
                  <wp:effectExtent l="19050" t="19050" r="6985" b="6985"/>
                  <wp:docPr id="8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2615" cy="241236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1D4A3C2" w14:textId="77777777" w:rsidR="00515B58" w:rsidRPr="000B6501" w:rsidRDefault="00515B58" w:rsidP="00515B58">
            <w:pPr>
              <w:jc w:val="center"/>
              <w:textAlignment w:val="top"/>
              <w:rPr>
                <w:rFonts w:ascii="Verdana" w:hAnsi="Verdana"/>
              </w:rPr>
            </w:pPr>
          </w:p>
          <w:p w14:paraId="459B19E0" w14:textId="680E2043" w:rsidR="000B48D2" w:rsidRPr="000B6501" w:rsidRDefault="009852D6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Result</w:t>
            </w:r>
            <w:r w:rsidR="000B48D2"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0B48D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465DA7" w:rsidRPr="00905981">
              <w:rPr>
                <w:rFonts w:ascii="Verdana" w:hAnsi="Verdana"/>
                <w:bCs/>
              </w:rPr>
              <w:t xml:space="preserve">Claim </w:t>
            </w:r>
            <w:r w:rsidR="000B48D2" w:rsidRPr="00905981">
              <w:rPr>
                <w:rFonts w:ascii="Verdana" w:hAnsi="Verdana"/>
                <w:bCs/>
              </w:rPr>
              <w:t>Details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="000B48D2" w:rsidRPr="000B6501">
              <w:rPr>
                <w:rFonts w:ascii="Verdana" w:hAnsi="Verdana"/>
              </w:rPr>
              <w:t>screen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display</w:t>
            </w:r>
            <w:r w:rsidR="00CF060A" w:rsidRPr="000B6501">
              <w:rPr>
                <w:rFonts w:ascii="Verdana" w:hAnsi="Verdana"/>
              </w:rPr>
              <w:t>.</w:t>
            </w:r>
          </w:p>
          <w:p w14:paraId="6A3C7C64" w14:textId="77777777" w:rsidR="000B6501" w:rsidRDefault="000B6501" w:rsidP="008167F0">
            <w:pPr>
              <w:textAlignment w:val="top"/>
              <w:rPr>
                <w:rFonts w:ascii="Verdana" w:hAnsi="Verdana"/>
              </w:rPr>
            </w:pPr>
          </w:p>
          <w:p w14:paraId="2D7CF640" w14:textId="1AC114EA" w:rsidR="00D812ED" w:rsidRDefault="00C20F93" w:rsidP="00D812ED">
            <w:pPr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4C34F3" wp14:editId="632EF02F">
                  <wp:extent cx="8229600" cy="2623820"/>
                  <wp:effectExtent l="19050" t="19050" r="0" b="5080"/>
                  <wp:docPr id="9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6238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DFFBAA3" w14:textId="77777777" w:rsidR="00D812ED" w:rsidRDefault="00D812ED" w:rsidP="00D812ED">
            <w:pPr>
              <w:jc w:val="center"/>
              <w:textAlignment w:val="top"/>
              <w:rPr>
                <w:noProof/>
              </w:rPr>
            </w:pPr>
          </w:p>
          <w:p w14:paraId="46A7BA55" w14:textId="77777777" w:rsidR="00D812ED" w:rsidRPr="000B6501" w:rsidRDefault="00D812ED" w:rsidP="00D812ED">
            <w:pPr>
              <w:jc w:val="center"/>
              <w:textAlignment w:val="top"/>
              <w:rPr>
                <w:rFonts w:ascii="Verdana" w:hAnsi="Verdana"/>
              </w:rPr>
            </w:pPr>
          </w:p>
        </w:tc>
      </w:tr>
      <w:tr w:rsidR="003A3CFD" w:rsidRPr="000B6501" w14:paraId="57F5491D" w14:textId="77777777" w:rsidTr="002E12F0">
        <w:tc>
          <w:tcPr>
            <w:tcW w:w="1326" w:type="dxa"/>
          </w:tcPr>
          <w:p w14:paraId="5589B7B1" w14:textId="77777777" w:rsidR="000B48D2" w:rsidRPr="000B6501" w:rsidRDefault="00276E81" w:rsidP="008167F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7508" w:type="dxa"/>
            <w:gridSpan w:val="4"/>
          </w:tcPr>
          <w:p w14:paraId="1F58F5BE" w14:textId="77969581" w:rsidR="000B48D2" w:rsidRDefault="000B48D2" w:rsidP="008167F0">
            <w:pPr>
              <w:textAlignment w:val="top"/>
              <w:rPr>
                <w:rFonts w:ascii="Verdana" w:hAnsi="Verdana"/>
              </w:rPr>
            </w:pPr>
            <w:bookmarkStart w:id="13" w:name="TransitionFillProcessStep3"/>
            <w:r w:rsidRPr="000B6501">
              <w:rPr>
                <w:rFonts w:ascii="Verdana" w:hAnsi="Verdana"/>
              </w:rPr>
              <w:t>Click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C5047">
              <w:rPr>
                <w:rFonts w:ascii="Verdana" w:hAnsi="Verdana"/>
                <w:b/>
              </w:rPr>
              <w:t xml:space="preserve">Transmission Details </w:t>
            </w:r>
            <w:r w:rsidR="00CC5047" w:rsidRPr="00CC5047">
              <w:rPr>
                <w:rFonts w:ascii="Verdana" w:hAnsi="Verdana"/>
                <w:bCs/>
              </w:rPr>
              <w:t>tab to access the Reject Code and Description</w:t>
            </w:r>
            <w:bookmarkEnd w:id="13"/>
            <w:r w:rsidR="00CF060A" w:rsidRPr="000B6501">
              <w:rPr>
                <w:rFonts w:ascii="Verdana" w:hAnsi="Verdana"/>
              </w:rPr>
              <w:t>.</w:t>
            </w:r>
          </w:p>
          <w:p w14:paraId="32D837D7" w14:textId="77777777" w:rsidR="00D812ED" w:rsidRDefault="00D812ED" w:rsidP="008167F0">
            <w:pPr>
              <w:textAlignment w:val="top"/>
              <w:rPr>
                <w:rFonts w:ascii="Verdana" w:hAnsi="Verdana"/>
              </w:rPr>
            </w:pPr>
          </w:p>
          <w:p w14:paraId="2BE30754" w14:textId="4407818A" w:rsidR="00D812ED" w:rsidRPr="000B6501" w:rsidRDefault="00D812ED" w:rsidP="008167F0">
            <w:pPr>
              <w:textAlignment w:val="top"/>
              <w:rPr>
                <w:rFonts w:ascii="Verdana" w:hAnsi="Verdana"/>
              </w:rPr>
            </w:pPr>
            <w:r w:rsidRPr="00D812ED"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905981">
              <w:rPr>
                <w:rFonts w:ascii="Verdana" w:hAnsi="Verdana"/>
              </w:rPr>
              <w:t xml:space="preserve"> </w:t>
            </w:r>
            <w:r w:rsidR="00CC5047">
              <w:rPr>
                <w:rFonts w:ascii="Verdana" w:hAnsi="Verdana"/>
              </w:rPr>
              <w:t>Transmission Details</w:t>
            </w:r>
            <w:r>
              <w:rPr>
                <w:rFonts w:ascii="Verdana" w:hAnsi="Verdana"/>
              </w:rPr>
              <w:t xml:space="preserve"> </w:t>
            </w:r>
            <w:proofErr w:type="gramStart"/>
            <w:r>
              <w:rPr>
                <w:rFonts w:ascii="Verdana" w:hAnsi="Verdana"/>
              </w:rPr>
              <w:t>display</w:t>
            </w:r>
            <w:r w:rsidR="00CC5047">
              <w:rPr>
                <w:rFonts w:ascii="Verdana" w:hAnsi="Verdana"/>
              </w:rPr>
              <w:t>s</w:t>
            </w:r>
            <w:proofErr w:type="gramEnd"/>
            <w:r>
              <w:rPr>
                <w:rFonts w:ascii="Verdana" w:hAnsi="Verdana"/>
              </w:rPr>
              <w:t xml:space="preserve"> for the claim in question.</w:t>
            </w:r>
          </w:p>
          <w:p w14:paraId="3F9CDB49" w14:textId="77777777" w:rsidR="00423207" w:rsidRDefault="00423207" w:rsidP="008167F0">
            <w:pPr>
              <w:textAlignment w:val="top"/>
              <w:rPr>
                <w:rFonts w:ascii="Verdana" w:hAnsi="Verdana"/>
              </w:rPr>
            </w:pPr>
          </w:p>
          <w:p w14:paraId="7F955B14" w14:textId="441D895C" w:rsidR="009B3B11" w:rsidRPr="00BA1367" w:rsidRDefault="00BA1367">
            <w:pPr>
              <w:numPr>
                <w:ilvl w:val="0"/>
                <w:numId w:val="51"/>
              </w:numPr>
              <w:textAlignment w:val="top"/>
              <w:rPr>
                <w:rFonts w:ascii="Verdana" w:hAnsi="Verdana"/>
              </w:rPr>
            </w:pPr>
            <w:r w:rsidRPr="00BA1367">
              <w:rPr>
                <w:rFonts w:ascii="Verdana" w:hAnsi="Verdana"/>
                <w:b/>
                <w:bCs/>
              </w:rPr>
              <w:t>Example</w:t>
            </w:r>
            <w:r w:rsidR="00AF134C">
              <w:rPr>
                <w:rFonts w:ascii="Verdana" w:hAnsi="Verdana"/>
                <w:b/>
                <w:bCs/>
              </w:rPr>
              <w:t xml:space="preserve"> shown</w:t>
            </w:r>
            <w:r>
              <w:rPr>
                <w:rFonts w:ascii="Verdana" w:hAnsi="Verdana"/>
              </w:rPr>
              <w:t>:</w:t>
            </w:r>
            <w:r w:rsidR="00905981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Non-Formulary Reject</w:t>
            </w:r>
            <w:r w:rsidR="00443763">
              <w:rPr>
                <w:rFonts w:ascii="Verdana" w:hAnsi="Verdana"/>
              </w:rPr>
              <w:t>;</w:t>
            </w:r>
            <w:r>
              <w:rPr>
                <w:rFonts w:ascii="Verdana" w:hAnsi="Verdana"/>
              </w:rPr>
              <w:t xml:space="preserve"> f</w:t>
            </w:r>
            <w:r w:rsidR="009B3B11" w:rsidRPr="009B3B11">
              <w:rPr>
                <w:rFonts w:ascii="Verdana" w:hAnsi="Verdana"/>
              </w:rPr>
              <w:t xml:space="preserve">or </w:t>
            </w:r>
            <w:r w:rsidR="009B3B11">
              <w:rPr>
                <w:rFonts w:ascii="Verdana" w:hAnsi="Verdana"/>
              </w:rPr>
              <w:t xml:space="preserve">more </w:t>
            </w:r>
            <w:r w:rsidR="009B3B11" w:rsidRPr="009B3B11">
              <w:rPr>
                <w:rFonts w:ascii="Verdana" w:hAnsi="Verdana"/>
              </w:rPr>
              <w:t>reject types</w:t>
            </w:r>
            <w:r w:rsidR="00AF134C">
              <w:rPr>
                <w:rFonts w:ascii="Verdana" w:hAnsi="Verdana"/>
              </w:rPr>
              <w:t xml:space="preserve"> (</w:t>
            </w:r>
            <w:r w:rsidR="00AF134C" w:rsidRPr="00AF134C">
              <w:rPr>
                <w:rFonts w:ascii="Verdana" w:hAnsi="Verdana"/>
                <w:b/>
                <w:bCs/>
              </w:rPr>
              <w:t>PA/Step Therapy</w:t>
            </w:r>
            <w:r w:rsidR="00AF134C">
              <w:rPr>
                <w:rFonts w:ascii="Verdana" w:hAnsi="Verdana"/>
              </w:rPr>
              <w:t xml:space="preserve"> or </w:t>
            </w:r>
            <w:r w:rsidR="00AF134C" w:rsidRPr="00AF134C">
              <w:rPr>
                <w:rFonts w:ascii="Verdana" w:hAnsi="Verdana"/>
                <w:b/>
                <w:bCs/>
              </w:rPr>
              <w:t>Compound</w:t>
            </w:r>
            <w:r w:rsidR="00AF134C">
              <w:rPr>
                <w:rFonts w:ascii="Verdana" w:hAnsi="Verdana"/>
              </w:rPr>
              <w:t>)</w:t>
            </w:r>
            <w:r w:rsidR="00443763">
              <w:rPr>
                <w:rFonts w:ascii="Verdana" w:hAnsi="Verdana"/>
              </w:rPr>
              <w:t>,</w:t>
            </w:r>
            <w:r w:rsidR="009B3B11">
              <w:rPr>
                <w:rFonts w:ascii="Verdana" w:hAnsi="Verdana"/>
                <w:b/>
                <w:bCs/>
              </w:rPr>
              <w:t xml:space="preserve"> </w:t>
            </w:r>
            <w:r w:rsidR="000F4311">
              <w:rPr>
                <w:rFonts w:ascii="Verdana" w:hAnsi="Verdana"/>
              </w:rPr>
              <w:t xml:space="preserve">refer to </w:t>
            </w:r>
            <w:r w:rsidR="00905981">
              <w:rPr>
                <w:rFonts w:ascii="Verdana" w:hAnsi="Verdana"/>
              </w:rPr>
              <w:t xml:space="preserve">the </w:t>
            </w:r>
            <w:hyperlink w:anchor="_Transition_Fills_Scenario" w:history="1">
              <w:r w:rsidR="00443763" w:rsidRPr="00905981">
                <w:rPr>
                  <w:rStyle w:val="Hyperlink"/>
                  <w:rFonts w:ascii="Verdana" w:hAnsi="Verdana"/>
                </w:rPr>
                <w:t>Transition Fill</w:t>
              </w:r>
              <w:r w:rsidR="00C7161F" w:rsidRPr="00905981">
                <w:rPr>
                  <w:rStyle w:val="Hyperlink"/>
                  <w:rFonts w:ascii="Verdana" w:hAnsi="Verdana"/>
                </w:rPr>
                <w:t>s</w:t>
              </w:r>
              <w:r w:rsidR="00443763" w:rsidRPr="00905981">
                <w:rPr>
                  <w:rStyle w:val="Hyperlink"/>
                  <w:rFonts w:ascii="Verdana" w:hAnsi="Verdana"/>
                </w:rPr>
                <w:t xml:space="preserve"> </w:t>
              </w:r>
              <w:r w:rsidR="000F4311" w:rsidRPr="00905981">
                <w:rPr>
                  <w:rStyle w:val="Hyperlink"/>
                  <w:rFonts w:ascii="Verdana" w:hAnsi="Verdana"/>
                </w:rPr>
                <w:t>Scenario Guide</w:t>
              </w:r>
            </w:hyperlink>
            <w:r w:rsidR="009B3B11">
              <w:rPr>
                <w:rFonts w:ascii="Verdana" w:hAnsi="Verdana"/>
                <w:color w:val="0000FF"/>
                <w:u w:val="single"/>
              </w:rPr>
              <w:t>.</w:t>
            </w:r>
          </w:p>
          <w:p w14:paraId="1FD40D1F" w14:textId="77777777" w:rsidR="00BA1367" w:rsidRPr="009B3B11" w:rsidRDefault="00BA1367" w:rsidP="00BA1367">
            <w:pPr>
              <w:ind w:left="720"/>
              <w:textAlignment w:val="top"/>
              <w:rPr>
                <w:rFonts w:ascii="Verdana" w:hAnsi="Verdana"/>
              </w:rPr>
            </w:pPr>
          </w:p>
          <w:p w14:paraId="250825AC" w14:textId="77777777" w:rsidR="000F4311" w:rsidRDefault="000F4311" w:rsidP="008167F0">
            <w:pPr>
              <w:textAlignment w:val="top"/>
              <w:rPr>
                <w:rFonts w:ascii="Verdana" w:hAnsi="Verdana"/>
              </w:rPr>
            </w:pPr>
          </w:p>
          <w:p w14:paraId="4499EEEE" w14:textId="551FA0E6" w:rsidR="009B3B11" w:rsidRDefault="009B3B11" w:rsidP="009B3B11">
            <w:pPr>
              <w:jc w:val="center"/>
              <w:textAlignment w:val="top"/>
              <w:rPr>
                <w:rFonts w:ascii="Verdana" w:hAnsi="Verdana"/>
                <w:b/>
                <w:bCs/>
              </w:rPr>
            </w:pPr>
            <w:r w:rsidRPr="009B3B11">
              <w:rPr>
                <w:rFonts w:ascii="Verdana" w:hAnsi="Verdana"/>
                <w:b/>
                <w:bCs/>
              </w:rPr>
              <w:t>Non-Formulary Example</w:t>
            </w:r>
            <w:r w:rsidR="00905981">
              <w:rPr>
                <w:rFonts w:ascii="Verdana" w:hAnsi="Verdana"/>
                <w:b/>
                <w:bCs/>
              </w:rPr>
              <w:t>:</w:t>
            </w:r>
          </w:p>
          <w:p w14:paraId="688573B9" w14:textId="77777777" w:rsidR="00905981" w:rsidRPr="009B3B11" w:rsidRDefault="00905981" w:rsidP="009B3B11">
            <w:pPr>
              <w:jc w:val="center"/>
              <w:textAlignment w:val="top"/>
              <w:rPr>
                <w:rFonts w:ascii="Verdana" w:hAnsi="Verdana"/>
                <w:b/>
                <w:bCs/>
              </w:rPr>
            </w:pPr>
          </w:p>
          <w:p w14:paraId="60700A2F" w14:textId="29DF4A1C" w:rsidR="009E0D3C" w:rsidRDefault="00C20F93" w:rsidP="00C05154">
            <w:pPr>
              <w:jc w:val="center"/>
              <w:textAlignment w:val="top"/>
              <w:rPr>
                <w:rFonts w:ascii="Verdana" w:hAnsi="Verdana"/>
              </w:rPr>
            </w:pPr>
            <w:bookmarkStart w:id="14" w:name="OLE_LINK25"/>
            <w:r>
              <w:rPr>
                <w:noProof/>
              </w:rPr>
              <w:drawing>
                <wp:inline distT="0" distB="0" distL="0" distR="0" wp14:anchorId="189818E9" wp14:editId="3356F41A">
                  <wp:extent cx="8250555" cy="2412365"/>
                  <wp:effectExtent l="19050" t="19050" r="0" b="6985"/>
                  <wp:docPr id="10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0555" cy="241236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543923A" w14:textId="77777777" w:rsidR="00D812ED" w:rsidRPr="000B6501" w:rsidRDefault="00D812ED" w:rsidP="00D812ED">
            <w:pPr>
              <w:jc w:val="center"/>
              <w:textAlignment w:val="top"/>
              <w:rPr>
                <w:rFonts w:ascii="Verdana" w:hAnsi="Verdana"/>
              </w:rPr>
            </w:pPr>
          </w:p>
          <w:p w14:paraId="4C4D9D27" w14:textId="77777777" w:rsidR="000B48D2" w:rsidRPr="000B6501" w:rsidRDefault="009852D6" w:rsidP="008167F0">
            <w:pPr>
              <w:textAlignment w:val="top"/>
              <w:rPr>
                <w:rFonts w:ascii="Verdana" w:hAnsi="Verdana" w:cs="Symbol"/>
                <w:b/>
              </w:rPr>
            </w:pPr>
            <w:r w:rsidRPr="000B6501">
              <w:rPr>
                <w:rFonts w:ascii="Verdana" w:hAnsi="Verdana"/>
                <w:b/>
              </w:rPr>
              <w:t>Note</w:t>
            </w:r>
            <w:r w:rsidR="000B48D2"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0B48D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CCR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looking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message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/>
              </w:rPr>
              <w:t>stating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B48D2" w:rsidRPr="000B6501">
              <w:rPr>
                <w:rFonts w:ascii="Verdana" w:hAnsi="Verdana" w:cs="Symbol"/>
                <w:b/>
              </w:rPr>
              <w:t>Non-Formulary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="000B48D2" w:rsidRPr="000B6501">
              <w:rPr>
                <w:rFonts w:ascii="Verdana" w:hAnsi="Verdana" w:cs="Symbol"/>
                <w:b/>
              </w:rPr>
              <w:t>Medication,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="000B48D2" w:rsidRPr="000B6501">
              <w:rPr>
                <w:rFonts w:ascii="Verdana" w:hAnsi="Verdana" w:cs="Symbol"/>
                <w:b/>
              </w:rPr>
              <w:t>Contact</w:t>
            </w:r>
            <w:r w:rsidR="001701B1" w:rsidRPr="000B6501">
              <w:rPr>
                <w:rFonts w:ascii="Verdana" w:hAnsi="Verdana" w:cs="Symbol"/>
                <w:b/>
              </w:rPr>
              <w:t xml:space="preserve"> </w:t>
            </w:r>
            <w:r w:rsidR="000B48D2" w:rsidRPr="000B6501">
              <w:rPr>
                <w:rFonts w:ascii="Verdana" w:hAnsi="Verdana" w:cs="Symbol"/>
                <w:b/>
              </w:rPr>
              <w:t>Prescriber</w:t>
            </w:r>
            <w:r w:rsidR="000F4311">
              <w:rPr>
                <w:rFonts w:ascii="Verdana" w:hAnsi="Verdana" w:cs="Symbol"/>
                <w:b/>
              </w:rPr>
              <w:t>.</w:t>
            </w:r>
          </w:p>
          <w:p w14:paraId="5892B217" w14:textId="77777777" w:rsidR="000B48D2" w:rsidRPr="000B6501" w:rsidRDefault="000B48D2" w:rsidP="0047463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message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E16BA8" w:rsidRPr="000B6501">
              <w:rPr>
                <w:rFonts w:ascii="Verdana" w:hAnsi="Verdana" w:cs="Arial"/>
              </w:rPr>
              <w:t>Point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E16BA8"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E16BA8" w:rsidRPr="000B6501">
              <w:rPr>
                <w:rFonts w:ascii="Verdana" w:hAnsi="Verdana" w:cs="Arial"/>
              </w:rPr>
              <w:t>Sale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E16BA8" w:rsidRPr="000B6501">
              <w:rPr>
                <w:rFonts w:ascii="Verdana" w:hAnsi="Verdana" w:cs="Arial"/>
              </w:rPr>
              <w:t>(</w:t>
            </w:r>
            <w:r w:rsidRPr="000B6501">
              <w:rPr>
                <w:rFonts w:ascii="Verdana" w:hAnsi="Verdana" w:cs="Arial"/>
              </w:rPr>
              <w:t>POS</w:t>
            </w:r>
            <w:r w:rsidR="00E16BA8" w:rsidRPr="000B6501">
              <w:rPr>
                <w:rFonts w:ascii="Verdana" w:hAnsi="Verdana" w:cs="Arial"/>
              </w:rPr>
              <w:t>)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display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override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plus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additional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supplemental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mes</w:t>
            </w:r>
            <w:r w:rsidR="001D732E" w:rsidRPr="000B6501">
              <w:rPr>
                <w:rFonts w:ascii="Verdana" w:hAnsi="Verdana" w:cs="Arial"/>
              </w:rPr>
              <w:t>sages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which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drug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specific.</w:t>
            </w:r>
          </w:p>
          <w:p w14:paraId="0EC6FCCB" w14:textId="77777777" w:rsidR="000B48D2" w:rsidRPr="000B6501" w:rsidRDefault="000B48D2" w:rsidP="0047463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message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override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returned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which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eligibl</w:t>
            </w:r>
            <w:r w:rsidR="001D732E" w:rsidRPr="000B6501">
              <w:rPr>
                <w:rFonts w:ascii="Verdana" w:hAnsi="Verdana" w:cs="Arial"/>
              </w:rPr>
              <w:t>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override.</w:t>
            </w:r>
          </w:p>
          <w:p w14:paraId="02DCA276" w14:textId="77777777" w:rsidR="000B48D2" w:rsidRPr="000B6501" w:rsidRDefault="000B48D2" w:rsidP="0047463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 w:cs="Symbol"/>
              </w:rPr>
            </w:pP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pharmacy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provider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enter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override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PA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</w:rPr>
              <w:t>field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their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software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prog</w:t>
            </w:r>
            <w:r w:rsidR="001D732E" w:rsidRPr="000B6501">
              <w:rPr>
                <w:rFonts w:ascii="Verdana" w:hAnsi="Verdana" w:cs="Arial"/>
              </w:rPr>
              <w:t>ram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allow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 w:cs="Arial"/>
              </w:rPr>
              <w:t>pay.</w:t>
            </w:r>
          </w:p>
          <w:p w14:paraId="65512A82" w14:textId="77777777" w:rsidR="000B48D2" w:rsidRPr="000B6501" w:rsidRDefault="000B48D2" w:rsidP="00474631">
            <w:pPr>
              <w:numPr>
                <w:ilvl w:val="0"/>
                <w:numId w:val="11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override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allow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up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30-</w:t>
            </w:r>
            <w:r w:rsidRPr="000B6501">
              <w:rPr>
                <w:rFonts w:ascii="Verdana" w:hAnsi="Verdana" w:cs="Arial"/>
              </w:rPr>
              <w:t>day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supply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process.</w:t>
            </w:r>
          </w:p>
          <w:bookmarkEnd w:id="14"/>
          <w:p w14:paraId="75D8AC6B" w14:textId="77777777" w:rsidR="000B48D2" w:rsidRPr="000B6501" w:rsidRDefault="000B48D2" w:rsidP="008167F0">
            <w:pPr>
              <w:textAlignment w:val="top"/>
              <w:rPr>
                <w:rFonts w:ascii="Verdana" w:hAnsi="Verdana" w:cs="Arial"/>
              </w:rPr>
            </w:pPr>
          </w:p>
          <w:p w14:paraId="145B8AFF" w14:textId="77777777" w:rsidR="000B48D2" w:rsidRPr="000B6501" w:rsidRDefault="000B48D2" w:rsidP="008167F0">
            <w:pPr>
              <w:textAlignment w:val="top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>REMINDER:</w:t>
            </w:r>
            <w:r w:rsidR="001701B1" w:rsidRPr="000B6501">
              <w:rPr>
                <w:rFonts w:ascii="Verdana" w:hAnsi="Verdana" w:cs="Arial"/>
                <w:b/>
              </w:rPr>
              <w:t xml:space="preserve">  </w:t>
            </w:r>
            <w:r w:rsidRPr="000B6501">
              <w:rPr>
                <w:rFonts w:ascii="Verdana" w:hAnsi="Verdana" w:cs="Arial"/>
              </w:rPr>
              <w:t>There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more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beneficiary’s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account.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</w:p>
          <w:p w14:paraId="16F01183" w14:textId="77777777" w:rsidR="000B48D2" w:rsidRPr="000B6501" w:rsidRDefault="000B48D2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issue,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CCR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may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need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review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more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rejected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search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message.</w:t>
            </w:r>
          </w:p>
          <w:p w14:paraId="12DC7CE6" w14:textId="77777777" w:rsidR="008C3C63" w:rsidRPr="000B6501" w:rsidRDefault="008C3C63" w:rsidP="008167F0">
            <w:pPr>
              <w:textAlignment w:val="top"/>
              <w:rPr>
                <w:rFonts w:ascii="Verdana" w:hAnsi="Verdana" w:cs="Arial"/>
              </w:rPr>
            </w:pPr>
          </w:p>
          <w:p w14:paraId="2FB040C6" w14:textId="38DC37CF" w:rsidR="008C3C63" w:rsidRPr="000B6501" w:rsidRDefault="00C20F93" w:rsidP="008167F0">
            <w:pPr>
              <w:textAlignment w:val="top"/>
              <w:rPr>
                <w:rFonts w:ascii="Verdana" w:hAnsi="Verdana" w:cs="Arial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E0052D3" wp14:editId="5AD1ACBA">
                  <wp:extent cx="239395" cy="210820"/>
                  <wp:effectExtent l="0" t="0" r="0" b="0"/>
                  <wp:docPr id="1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01B1" w:rsidRPr="000B6501">
              <w:rPr>
                <w:rFonts w:ascii="Verdana" w:hAnsi="Verdana"/>
                <w:noProof/>
              </w:rPr>
              <w:t xml:space="preserve">  </w:t>
            </w:r>
            <w:r w:rsidR="007B047E" w:rsidRPr="000B6501">
              <w:rPr>
                <w:rFonts w:ascii="Verdana" w:hAnsi="Verdana" w:cs="Arial"/>
              </w:rPr>
              <w:t>S</w:t>
            </w:r>
            <w:r w:rsidR="008C3C63" w:rsidRPr="000B6501">
              <w:rPr>
                <w:rFonts w:ascii="Verdana" w:hAnsi="Verdana" w:cs="Arial"/>
              </w:rPr>
              <w:t>ome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medications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ineligible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8C3C63" w:rsidRPr="000B6501">
              <w:rPr>
                <w:rFonts w:ascii="Verdana" w:hAnsi="Verdana" w:cs="Arial"/>
              </w:rPr>
              <w:t>Fill</w:t>
            </w:r>
            <w:r w:rsidR="007B047E" w:rsidRPr="000B6501">
              <w:rPr>
                <w:rFonts w:ascii="Verdana" w:hAnsi="Verdana" w:cs="Arial"/>
              </w:rPr>
              <w:t>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unless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they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being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prescribed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medically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accepted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B047E" w:rsidRPr="000B6501">
              <w:rPr>
                <w:rFonts w:ascii="Verdana" w:hAnsi="Verdana" w:cs="Arial"/>
              </w:rPr>
              <w:t>indications</w:t>
            </w:r>
          </w:p>
          <w:p w14:paraId="17B1AEC5" w14:textId="7DF76EC0" w:rsidR="008C3C63" w:rsidRPr="000B6501" w:rsidRDefault="008A1CFB" w:rsidP="00474631">
            <w:pPr>
              <w:numPr>
                <w:ilvl w:val="0"/>
                <w:numId w:val="12"/>
              </w:numPr>
              <w:rPr>
                <w:rFonts w:ascii="Verdana" w:hAnsi="Verdana" w:cs="Arial"/>
                <w:b/>
                <w:bCs/>
                <w:color w:val="333333"/>
              </w:rPr>
            </w:pPr>
            <w:r w:rsidRPr="000B6501">
              <w:rPr>
                <w:rFonts w:ascii="Verdana" w:hAnsi="Verdana"/>
              </w:rPr>
              <w:t>R</w:t>
            </w:r>
            <w:r w:rsidR="008C3C63" w:rsidRPr="000B6501">
              <w:rPr>
                <w:rFonts w:ascii="Verdana" w:hAnsi="Verdana"/>
              </w:rPr>
              <w:t>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3C63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3C63" w:rsidRPr="000B6501">
              <w:rPr>
                <w:rFonts w:ascii="Verdana" w:hAnsi="Verdana" w:cs="Arial"/>
                <w:bCs/>
                <w:color w:val="333333"/>
              </w:rPr>
              <w:t>the</w:t>
            </w:r>
            <w:r w:rsidR="001701B1" w:rsidRPr="000B6501">
              <w:rPr>
                <w:rFonts w:ascii="Verdana" w:hAnsi="Verdana" w:cs="Arial"/>
                <w:bCs/>
                <w:color w:val="333333"/>
              </w:rPr>
              <w:t xml:space="preserve"> </w:t>
            </w:r>
            <w:hyperlink r:id="rId23" w:history="1">
              <w:r w:rsidR="00EA38A1" w:rsidRPr="000B6501">
                <w:rPr>
                  <w:rStyle w:val="Hyperlink"/>
                  <w:rFonts w:ascii="Verdana" w:hAnsi="Verdana" w:cs="Arial"/>
                </w:rPr>
                <w:t>MED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D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-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Drugs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Ineligible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for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Transition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Fill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Requiring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Diagnosis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for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Part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D</w:t>
              </w:r>
              <w:r w:rsidR="001701B1" w:rsidRPr="000B6501">
                <w:rPr>
                  <w:rStyle w:val="Hyperlink"/>
                  <w:rFonts w:ascii="Verdana" w:hAnsi="Verdana" w:cs="Arial"/>
                </w:rPr>
                <w:t xml:space="preserve"> </w:t>
              </w:r>
              <w:r w:rsidR="00EA38A1" w:rsidRPr="000B6501">
                <w:rPr>
                  <w:rStyle w:val="Hyperlink"/>
                  <w:rFonts w:ascii="Verdana" w:hAnsi="Verdana" w:cs="Arial"/>
                </w:rPr>
                <w:t>Coverage</w:t>
              </w:r>
            </w:hyperlink>
            <w:r w:rsidR="001701B1" w:rsidRPr="000B6501">
              <w:rPr>
                <w:rFonts w:ascii="Verdana" w:hAnsi="Verdana" w:cs="Arial"/>
                <w:b/>
                <w:bCs/>
                <w:color w:val="333333"/>
              </w:rPr>
              <w:t xml:space="preserve"> </w:t>
            </w:r>
            <w:r w:rsidRPr="000B6501">
              <w:rPr>
                <w:rFonts w:ascii="Verdana" w:hAnsi="Verdana" w:cs="Arial"/>
                <w:bCs/>
                <w:color w:val="333333"/>
              </w:rPr>
              <w:t>work</w:t>
            </w:r>
            <w:r w:rsidR="001701B1" w:rsidRPr="000B6501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0B6501">
              <w:rPr>
                <w:rFonts w:ascii="Verdana" w:hAnsi="Verdana" w:cs="Arial"/>
                <w:bCs/>
                <w:color w:val="333333"/>
              </w:rPr>
              <w:t>instruction</w:t>
            </w:r>
            <w:r w:rsidR="00121E7C" w:rsidRPr="000B6501">
              <w:rPr>
                <w:rFonts w:ascii="Verdana" w:hAnsi="Verdana" w:cs="Arial"/>
                <w:bCs/>
                <w:color w:val="333333"/>
              </w:rPr>
              <w:t>.</w:t>
            </w:r>
          </w:p>
          <w:p w14:paraId="168A6FF2" w14:textId="77777777" w:rsidR="008C3C63" w:rsidRPr="000B6501" w:rsidRDefault="008C3C63" w:rsidP="008167F0">
            <w:pPr>
              <w:textAlignment w:val="top"/>
              <w:rPr>
                <w:rFonts w:ascii="Verdana" w:hAnsi="Verdana"/>
              </w:rPr>
            </w:pPr>
          </w:p>
        </w:tc>
      </w:tr>
      <w:tr w:rsidR="003A3CFD" w:rsidRPr="000B6501" w14:paraId="70B485F0" w14:textId="77777777" w:rsidTr="002E12F0">
        <w:tc>
          <w:tcPr>
            <w:tcW w:w="1326" w:type="dxa"/>
          </w:tcPr>
          <w:p w14:paraId="7802D232" w14:textId="77777777" w:rsidR="00B34B97" w:rsidRPr="000B6501" w:rsidRDefault="00276E81" w:rsidP="008167F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7508" w:type="dxa"/>
            <w:gridSpan w:val="4"/>
          </w:tcPr>
          <w:p w14:paraId="1F46C140" w14:textId="713E29DE" w:rsidR="00D74AD3" w:rsidRPr="000B6501" w:rsidRDefault="00E16BA8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</w:t>
            </w:r>
            <w:r w:rsidR="00D74AD3" w:rsidRPr="000B6501">
              <w:rPr>
                <w:rFonts w:ascii="Verdana" w:hAnsi="Verdana"/>
              </w:rPr>
              <w:t>eturn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05154" w:rsidRPr="00905981">
              <w:rPr>
                <w:rFonts w:ascii="Verdana" w:hAnsi="Verdana"/>
                <w:bCs/>
              </w:rPr>
              <w:t>Claims Landing Page</w:t>
            </w:r>
            <w:r w:rsidR="00C05154" w:rsidRPr="000B6501">
              <w:rPr>
                <w:rFonts w:ascii="Verdana" w:hAnsi="Verdana"/>
                <w:b/>
              </w:rPr>
              <w:t xml:space="preserve"> </w:t>
            </w:r>
            <w:proofErr w:type="gramStart"/>
            <w:r w:rsidR="00D74AD3"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order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to</w:t>
            </w:r>
            <w:proofErr w:type="gramEnd"/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review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beneficiary’s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history.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78707C1A" w14:textId="77777777" w:rsidR="00D74AD3" w:rsidRPr="000B6501" w:rsidRDefault="00D74AD3" w:rsidP="008167F0">
            <w:pPr>
              <w:textAlignment w:val="top"/>
              <w:rPr>
                <w:rFonts w:ascii="Verdana" w:hAnsi="Verdana"/>
              </w:rPr>
            </w:pPr>
          </w:p>
          <w:p w14:paraId="0E55F912" w14:textId="77777777" w:rsidR="00B55AD4" w:rsidRPr="000B6501" w:rsidRDefault="009852D6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Note</w:t>
            </w:r>
            <w:r w:rsidR="00D74AD3"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D74AD3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CCR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looking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paid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that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same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within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D74AD3" w:rsidRPr="000B6501">
              <w:rPr>
                <w:rFonts w:ascii="Verdana" w:hAnsi="Verdana"/>
              </w:rPr>
              <w:t>year.</w:t>
            </w:r>
          </w:p>
          <w:p w14:paraId="1340D254" w14:textId="04EC62E4" w:rsidR="00B55AD4" w:rsidRPr="000B6501" w:rsidRDefault="00B55AD4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proofErr w:type="gramStart"/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order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proofErr w:type="gramEnd"/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view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AF134C">
              <w:rPr>
                <w:rFonts w:ascii="Verdana" w:hAnsi="Verdana"/>
                <w:b/>
                <w:bCs/>
              </w:rPr>
              <w:t>Transition</w:t>
            </w:r>
            <w:r w:rsidR="001701B1" w:rsidRPr="00AF134C">
              <w:rPr>
                <w:rFonts w:ascii="Verdana" w:hAnsi="Verdana"/>
                <w:b/>
                <w:bCs/>
              </w:rPr>
              <w:t xml:space="preserve"> </w:t>
            </w:r>
            <w:r w:rsidRPr="00AF134C">
              <w:rPr>
                <w:rFonts w:ascii="Verdana" w:hAnsi="Verdana"/>
                <w:b/>
                <w:bCs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9B3B11" w:rsidRPr="000B6501">
              <w:rPr>
                <w:rFonts w:ascii="Verdana" w:hAnsi="Verdana"/>
              </w:rPr>
              <w:t>messaging,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E16BA8" w:rsidRPr="000B6501">
              <w:rPr>
                <w:rFonts w:ascii="Verdana" w:hAnsi="Verdana"/>
              </w:rPr>
              <w:t>c</w:t>
            </w:r>
            <w:r w:rsidRPr="000B6501">
              <w:rPr>
                <w:rFonts w:ascii="Verdana" w:hAnsi="Verdana"/>
              </w:rPr>
              <w:t>lick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733AE8">
              <w:rPr>
                <w:rFonts w:ascii="Verdana" w:hAnsi="Verdana"/>
                <w:b/>
              </w:rPr>
              <w:t xml:space="preserve">Medicare </w:t>
            </w:r>
            <w:r w:rsidR="003A3CFD">
              <w:rPr>
                <w:rFonts w:ascii="Verdana" w:hAnsi="Verdana"/>
                <w:b/>
              </w:rPr>
              <w:t xml:space="preserve">Part </w:t>
            </w:r>
            <w:r w:rsidR="00733AE8">
              <w:rPr>
                <w:rFonts w:ascii="Verdana" w:hAnsi="Verdana"/>
                <w:b/>
              </w:rPr>
              <w:t>D</w:t>
            </w:r>
            <w:r w:rsidR="00443763">
              <w:rPr>
                <w:rFonts w:ascii="Verdana" w:hAnsi="Verdana"/>
                <w:b/>
              </w:rPr>
              <w:t xml:space="preserve"> </w:t>
            </w:r>
            <w:r w:rsidR="00443763" w:rsidRPr="00443763">
              <w:rPr>
                <w:rFonts w:ascii="Verdana" w:hAnsi="Verdana"/>
                <w:bCs/>
              </w:rPr>
              <w:t>or</w:t>
            </w:r>
            <w:r w:rsidR="00443763">
              <w:rPr>
                <w:rFonts w:ascii="Verdana" w:hAnsi="Verdana"/>
                <w:b/>
              </w:rPr>
              <w:t xml:space="preserve"> </w:t>
            </w:r>
            <w:r w:rsidR="00443763" w:rsidRPr="004D6194">
              <w:rPr>
                <w:rFonts w:ascii="Verdana" w:hAnsi="Verdana"/>
                <w:b/>
              </w:rPr>
              <w:t>Messaging</w:t>
            </w:r>
            <w:r w:rsidR="00443763">
              <w:rPr>
                <w:rFonts w:ascii="Verdana" w:hAnsi="Verdana"/>
                <w:b/>
              </w:rPr>
              <w:t xml:space="preserve"> </w:t>
            </w:r>
            <w:r w:rsidR="009B3B11" w:rsidRPr="009B3B11">
              <w:rPr>
                <w:rFonts w:ascii="Verdana" w:hAnsi="Verdana"/>
                <w:bCs/>
              </w:rPr>
              <w:t>tab</w:t>
            </w:r>
            <w:r w:rsidRPr="000B6501">
              <w:rPr>
                <w:rFonts w:ascii="Verdana" w:hAnsi="Verdana"/>
              </w:rPr>
              <w:t>.</w:t>
            </w:r>
          </w:p>
          <w:p w14:paraId="38D18921" w14:textId="77777777" w:rsidR="00B55AD4" w:rsidRDefault="00B55AD4" w:rsidP="008167F0">
            <w:pPr>
              <w:textAlignment w:val="top"/>
              <w:rPr>
                <w:rFonts w:ascii="Verdana" w:hAnsi="Verdana"/>
              </w:rPr>
            </w:pPr>
          </w:p>
          <w:p w14:paraId="59867BB2" w14:textId="77777777" w:rsidR="004D6194" w:rsidRDefault="004D6194" w:rsidP="004D6194">
            <w:pPr>
              <w:jc w:val="center"/>
              <w:textAlignment w:val="top"/>
              <w:rPr>
                <w:rFonts w:ascii="Verdana" w:hAnsi="Verdana"/>
              </w:rPr>
            </w:pPr>
          </w:p>
          <w:p w14:paraId="17444B29" w14:textId="1DC11AEF" w:rsidR="003A3CFD" w:rsidRDefault="00C20F93" w:rsidP="003A3CFD">
            <w:pPr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63AA1" wp14:editId="60E3C9C9">
                  <wp:extent cx="8229600" cy="3749040"/>
                  <wp:effectExtent l="19050" t="19050" r="0" b="3810"/>
                  <wp:docPr id="12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749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2042229" w14:textId="77777777" w:rsidR="003A3CFD" w:rsidRPr="000B6501" w:rsidRDefault="003A3CFD" w:rsidP="003A3CFD">
            <w:pPr>
              <w:jc w:val="center"/>
              <w:textAlignment w:val="top"/>
              <w:rPr>
                <w:rFonts w:ascii="Verdana" w:hAnsi="Verdana"/>
              </w:rPr>
            </w:pPr>
          </w:p>
          <w:p w14:paraId="639F568F" w14:textId="77777777" w:rsidR="00B55AD4" w:rsidRPr="000B6501" w:rsidRDefault="00B55AD4" w:rsidP="008167F0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messaging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AF134C">
              <w:rPr>
                <w:rFonts w:ascii="Verdana" w:hAnsi="Verdana"/>
                <w:bCs/>
              </w:rPr>
              <w:t>will</w:t>
            </w:r>
            <w:r w:rsidR="001701B1" w:rsidRPr="00AF134C">
              <w:rPr>
                <w:rFonts w:ascii="Verdana" w:hAnsi="Verdana"/>
                <w:bCs/>
              </w:rPr>
              <w:t xml:space="preserve"> </w:t>
            </w:r>
            <w:r w:rsidRPr="00AF134C">
              <w:rPr>
                <w:rFonts w:ascii="Verdana" w:hAnsi="Verdana"/>
                <w:bCs/>
              </w:rPr>
              <w:t>a</w:t>
            </w:r>
            <w:r w:rsidRPr="000B6501">
              <w:rPr>
                <w:rFonts w:ascii="Verdana" w:hAnsi="Verdana"/>
              </w:rPr>
              <w:t>ppear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follows:</w:t>
            </w:r>
            <w:r w:rsidR="001701B1" w:rsidRPr="000B6501">
              <w:rPr>
                <w:rFonts w:ascii="Verdana" w:hAnsi="Verdana"/>
              </w:rPr>
              <w:t xml:space="preserve">  </w:t>
            </w:r>
          </w:p>
          <w:p w14:paraId="72C899B7" w14:textId="77777777" w:rsidR="00B55AD4" w:rsidRPr="004D6194" w:rsidRDefault="00B55AD4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4D6194">
              <w:rPr>
                <w:rFonts w:ascii="Verdana" w:hAnsi="Verdana" w:cs="Arial"/>
              </w:rPr>
              <w:t>Paid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under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transition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fill.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Non-formulary</w:t>
            </w:r>
            <w:r w:rsidR="003F7D6A" w:rsidRPr="004D6194">
              <w:rPr>
                <w:rFonts w:ascii="Verdana" w:hAnsi="Verdana" w:cs="Arial"/>
              </w:rPr>
              <w:t>.</w:t>
            </w:r>
          </w:p>
          <w:p w14:paraId="14BE05A8" w14:textId="7B9A7FA5" w:rsidR="00B55AD4" w:rsidRPr="004D6194" w:rsidRDefault="00B55AD4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4D6194">
              <w:rPr>
                <w:rFonts w:ascii="Verdana" w:hAnsi="Verdana" w:cs="Arial"/>
              </w:rPr>
              <w:t>Paid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under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transition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fill.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PA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="004D6194">
              <w:rPr>
                <w:rFonts w:ascii="Verdana" w:hAnsi="Verdana" w:cs="Arial"/>
              </w:rPr>
              <w:t>R</w:t>
            </w:r>
            <w:r w:rsidRPr="004D6194">
              <w:rPr>
                <w:rFonts w:ascii="Verdana" w:hAnsi="Verdana" w:cs="Arial"/>
              </w:rPr>
              <w:t>equired</w:t>
            </w:r>
          </w:p>
          <w:p w14:paraId="58EBC164" w14:textId="77777777" w:rsidR="00B55AD4" w:rsidRPr="004D6194" w:rsidRDefault="00B55AD4" w:rsidP="00474631">
            <w:pPr>
              <w:numPr>
                <w:ilvl w:val="0"/>
                <w:numId w:val="12"/>
              </w:numPr>
              <w:textAlignment w:val="top"/>
              <w:rPr>
                <w:rFonts w:ascii="Verdana" w:hAnsi="Verdana"/>
              </w:rPr>
            </w:pPr>
            <w:r w:rsidRPr="004D6194">
              <w:rPr>
                <w:rFonts w:ascii="Verdana" w:hAnsi="Verdana" w:cs="Arial"/>
              </w:rPr>
              <w:t>Paid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under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transition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fill.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Other</w:t>
            </w:r>
            <w:r w:rsidR="001701B1" w:rsidRPr="004D6194">
              <w:rPr>
                <w:rFonts w:ascii="Verdana" w:hAnsi="Verdana" w:cs="Arial"/>
              </w:rPr>
              <w:t xml:space="preserve"> </w:t>
            </w:r>
            <w:r w:rsidRPr="004D6194">
              <w:rPr>
                <w:rFonts w:ascii="Verdana" w:hAnsi="Verdana" w:cs="Arial"/>
              </w:rPr>
              <w:t>reject</w:t>
            </w:r>
            <w:r w:rsidR="003F7D6A" w:rsidRPr="004D6194">
              <w:rPr>
                <w:rFonts w:ascii="Verdana" w:hAnsi="Verdana" w:cs="Arial"/>
              </w:rPr>
              <w:t>.</w:t>
            </w:r>
          </w:p>
          <w:p w14:paraId="6766FE7B" w14:textId="711FCD55" w:rsidR="00B55AD4" w:rsidRPr="004D6194" w:rsidRDefault="00B55AD4" w:rsidP="00474631">
            <w:pPr>
              <w:numPr>
                <w:ilvl w:val="1"/>
                <w:numId w:val="12"/>
              </w:num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includes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3A3CFD">
              <w:rPr>
                <w:rFonts w:ascii="Verdana" w:hAnsi="Verdana" w:cs="Arial"/>
              </w:rPr>
              <w:t xml:space="preserve">Therapy </w:t>
            </w:r>
            <w:r w:rsidRPr="000B6501">
              <w:rPr>
                <w:rFonts w:ascii="Verdana" w:hAnsi="Verdana" w:cs="Arial"/>
              </w:rPr>
              <w:t>and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Q</w:t>
            </w:r>
            <w:r w:rsidR="003A3CFD">
              <w:rPr>
                <w:rFonts w:ascii="Verdana" w:hAnsi="Verdana" w:cs="Arial"/>
              </w:rPr>
              <w:t>V</w:t>
            </w:r>
            <w:r w:rsidRPr="000B6501">
              <w:rPr>
                <w:rFonts w:ascii="Verdana" w:hAnsi="Verdana" w:cs="Arial"/>
              </w:rPr>
              <w:t>T</w:t>
            </w:r>
            <w:r w:rsidR="003F7D6A" w:rsidRPr="000B6501">
              <w:rPr>
                <w:rFonts w:ascii="Verdana" w:hAnsi="Verdana" w:cs="Arial"/>
              </w:rPr>
              <w:t>.</w:t>
            </w:r>
          </w:p>
          <w:p w14:paraId="04863DBF" w14:textId="77777777" w:rsidR="00905981" w:rsidRDefault="00905981" w:rsidP="004D6194">
            <w:pPr>
              <w:ind w:left="7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753D96C3" w14:textId="3B86FB70" w:rsidR="004D6194" w:rsidRDefault="004D6194" w:rsidP="004D6194">
            <w:pPr>
              <w:ind w:left="7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4D6194">
              <w:rPr>
                <w:rFonts w:ascii="Verdana" w:hAnsi="Verdana" w:cs="Arial"/>
                <w:b/>
                <w:bCs/>
              </w:rPr>
              <w:t>Messaging View</w:t>
            </w:r>
          </w:p>
          <w:p w14:paraId="4468D7BF" w14:textId="77777777" w:rsidR="00905981" w:rsidRPr="004D6194" w:rsidRDefault="00905981" w:rsidP="004D6194">
            <w:pPr>
              <w:ind w:left="7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56CDAE20" w14:textId="244CBB94" w:rsidR="004D6194" w:rsidRPr="000B6501" w:rsidRDefault="00C20F93" w:rsidP="00905981">
            <w:pPr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57FF7BD" wp14:editId="7A6C357B">
                  <wp:extent cx="8229600" cy="2686685"/>
                  <wp:effectExtent l="19050" t="1905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68668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B9DE20F" w14:textId="77777777" w:rsidR="00E16BA8" w:rsidRPr="000B6501" w:rsidRDefault="00E16BA8" w:rsidP="008167F0">
            <w:pPr>
              <w:ind w:left="1080"/>
              <w:textAlignment w:val="top"/>
              <w:rPr>
                <w:rFonts w:ascii="Verdana" w:hAnsi="Verdana" w:cs="Arial"/>
                <w:b/>
              </w:rPr>
            </w:pPr>
          </w:p>
          <w:p w14:paraId="62F62A85" w14:textId="6C152166" w:rsidR="00B55AD4" w:rsidRPr="000B6501" w:rsidRDefault="009852D6" w:rsidP="00FF469A">
            <w:pPr>
              <w:textAlignment w:val="top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>Note</w:t>
            </w:r>
            <w:r w:rsidR="00B55AD4" w:rsidRPr="000B6501">
              <w:rPr>
                <w:rFonts w:ascii="Verdana" w:hAnsi="Verdana" w:cs="Arial"/>
                <w:b/>
              </w:rPr>
              <w:t>:</w:t>
            </w:r>
            <w:r w:rsidR="001701B1" w:rsidRPr="000B6501">
              <w:rPr>
                <w:rFonts w:ascii="Verdana" w:hAnsi="Verdana" w:cs="Arial"/>
                <w:b/>
              </w:rPr>
              <w:t xml:space="preserve">  </w:t>
            </w:r>
            <w:r w:rsidR="00B55AD4" w:rsidRPr="000B6501">
              <w:rPr>
                <w:rFonts w:ascii="Verdana" w:hAnsi="Verdana" w:cs="Arial"/>
              </w:rPr>
              <w:t>Not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all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96AA3" w:rsidRPr="000B6501">
              <w:rPr>
                <w:rFonts w:ascii="Verdana" w:hAnsi="Verdana" w:cs="Arial"/>
              </w:rPr>
              <w:t>Q</w:t>
            </w:r>
            <w:r w:rsidR="00CC5047">
              <w:rPr>
                <w:rFonts w:ascii="Verdana" w:hAnsi="Verdana" w:cs="Arial"/>
              </w:rPr>
              <w:t>V</w:t>
            </w:r>
            <w:r w:rsidR="00B96AA3" w:rsidRPr="000B6501">
              <w:rPr>
                <w:rFonts w:ascii="Verdana" w:hAnsi="Verdana" w:cs="Arial"/>
              </w:rPr>
              <w:t>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medications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included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55AD4" w:rsidRPr="000B6501">
              <w:rPr>
                <w:rFonts w:ascii="Verdana" w:hAnsi="Verdana" w:cs="Arial"/>
              </w:rPr>
              <w:t>Fill</w:t>
            </w:r>
            <w:r w:rsidR="003F7D6A" w:rsidRPr="000B6501">
              <w:rPr>
                <w:rFonts w:ascii="Verdana" w:hAnsi="Verdana" w:cs="Arial"/>
              </w:rPr>
              <w:t>.</w:t>
            </w:r>
          </w:p>
          <w:p w14:paraId="592B6452" w14:textId="77777777" w:rsidR="000B6501" w:rsidRPr="000B6501" w:rsidRDefault="000B6501" w:rsidP="00CC5047">
            <w:pPr>
              <w:textAlignment w:val="top"/>
              <w:rPr>
                <w:rFonts w:ascii="Verdana" w:hAnsi="Verdana"/>
              </w:rPr>
            </w:pPr>
          </w:p>
        </w:tc>
      </w:tr>
      <w:tr w:rsidR="003A3CFD" w:rsidRPr="000B6501" w14:paraId="1C66BBFE" w14:textId="77777777" w:rsidTr="002E12F0">
        <w:tc>
          <w:tcPr>
            <w:tcW w:w="1326" w:type="dxa"/>
            <w:vMerge w:val="restart"/>
          </w:tcPr>
          <w:p w14:paraId="6A81E640" w14:textId="77777777" w:rsidR="00922944" w:rsidRDefault="00276E81" w:rsidP="008167F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  <w:p w14:paraId="58833475" w14:textId="53207B0C" w:rsidR="002E12F0" w:rsidRPr="000B6501" w:rsidRDefault="00C20F93" w:rsidP="008167F0">
            <w:pPr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02093D24" wp14:editId="75D6F922">
                  <wp:extent cx="309245" cy="309245"/>
                  <wp:effectExtent l="0" t="0" r="0" b="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08" w:type="dxa"/>
            <w:gridSpan w:val="4"/>
            <w:tcBorders>
              <w:bottom w:val="single" w:sz="4" w:space="0" w:color="auto"/>
            </w:tcBorders>
          </w:tcPr>
          <w:p w14:paraId="3C80587A" w14:textId="77777777" w:rsidR="00922944" w:rsidRPr="000B6501" w:rsidRDefault="00922944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/>
              </w:rPr>
              <w:t>Educate the beneficiary that, a</w:t>
            </w:r>
            <w:r w:rsidRPr="000B6501">
              <w:rPr>
                <w:rFonts w:ascii="Verdana" w:hAnsi="Verdana" w:cs="Arial"/>
              </w:rPr>
              <w:t>fter this 30-day transition fill, the beneficiary/prescriber will be required to follow the normal process for changing to a formulary medication or requesting an exception or prior authorization through the coverage determination process.</w:t>
            </w:r>
          </w:p>
          <w:p w14:paraId="744F2C63" w14:textId="77777777" w:rsidR="000B6501" w:rsidRPr="000B6501" w:rsidRDefault="000B6501" w:rsidP="00081A67">
            <w:pPr>
              <w:rPr>
                <w:rFonts w:ascii="Verdana" w:hAnsi="Verdana"/>
              </w:rPr>
            </w:pPr>
          </w:p>
        </w:tc>
      </w:tr>
      <w:tr w:rsidR="00443763" w:rsidRPr="000B6501" w14:paraId="6B087BC8" w14:textId="77777777" w:rsidTr="002E12F0">
        <w:trPr>
          <w:trHeight w:val="90"/>
        </w:trPr>
        <w:tc>
          <w:tcPr>
            <w:tcW w:w="1326" w:type="dxa"/>
            <w:vMerge/>
          </w:tcPr>
          <w:p w14:paraId="2C46B3A6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60" w:type="dxa"/>
            <w:gridSpan w:val="3"/>
            <w:shd w:val="clear" w:color="auto" w:fill="E6E6E6"/>
          </w:tcPr>
          <w:p w14:paraId="2F66BFDF" w14:textId="77777777" w:rsidR="00922944" w:rsidRPr="000B6501" w:rsidRDefault="00922944" w:rsidP="00281926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If...</w:t>
            </w:r>
          </w:p>
        </w:tc>
        <w:tc>
          <w:tcPr>
            <w:tcW w:w="13748" w:type="dxa"/>
            <w:shd w:val="clear" w:color="auto" w:fill="E6E6E6"/>
          </w:tcPr>
          <w:p w14:paraId="13DB9C51" w14:textId="77777777" w:rsidR="00922944" w:rsidRPr="000B6501" w:rsidRDefault="00922944" w:rsidP="00281926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Then...</w:t>
            </w:r>
          </w:p>
        </w:tc>
      </w:tr>
      <w:tr w:rsidR="00443763" w:rsidRPr="000B6501" w14:paraId="25F47CFE" w14:textId="77777777" w:rsidTr="002E12F0">
        <w:trPr>
          <w:trHeight w:val="90"/>
        </w:trPr>
        <w:tc>
          <w:tcPr>
            <w:tcW w:w="1326" w:type="dxa"/>
            <w:vMerge/>
          </w:tcPr>
          <w:p w14:paraId="3F8195E0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60" w:type="dxa"/>
            <w:gridSpan w:val="3"/>
          </w:tcPr>
          <w:p w14:paraId="695F93B4" w14:textId="77777777" w:rsidR="00922944" w:rsidRPr="000B6501" w:rsidRDefault="00922944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 beneficiary would like to discuss possible alternatives</w:t>
            </w:r>
          </w:p>
        </w:tc>
        <w:tc>
          <w:tcPr>
            <w:tcW w:w="13748" w:type="dxa"/>
            <w:tcBorders>
              <w:bottom w:val="single" w:sz="4" w:space="0" w:color="auto"/>
            </w:tcBorders>
          </w:tcPr>
          <w:p w14:paraId="221D4AA5" w14:textId="27CF05FB" w:rsidR="00922944" w:rsidRPr="000B6501" w:rsidRDefault="00922944" w:rsidP="00281926">
            <w:pPr>
              <w:rPr>
                <w:rFonts w:ascii="Verdana" w:hAnsi="Verdana"/>
              </w:rPr>
            </w:pPr>
            <w:bookmarkStart w:id="15" w:name="OLE_LINK44"/>
            <w:r w:rsidRPr="000B6501">
              <w:rPr>
                <w:rFonts w:ascii="Verdana" w:hAnsi="Verdana"/>
              </w:rPr>
              <w:t xml:space="preserve">Refer to </w:t>
            </w:r>
            <w:hyperlink r:id="rId26" w:anchor="!/view?docid=b3dbfb44-1c9e-47a6-b8f4-6010f553731b" w:history="1">
              <w:r w:rsidR="00DB792F" w:rsidRPr="00DB792F">
                <w:rPr>
                  <w:rStyle w:val="Hyperlink"/>
                  <w:rFonts w:ascii="Verdana" w:hAnsi="Verdana"/>
                </w:rPr>
                <w:t>Compass - Viewing and Running Test Claims for Alternative Rx(s)</w:t>
              </w:r>
            </w:hyperlink>
            <w:r w:rsidR="00DB792F">
              <w:rPr>
                <w:rFonts w:ascii="Verdana" w:hAnsi="Verdana"/>
              </w:rPr>
              <w:t xml:space="preserve"> to determine alternatives for the medication in question. </w:t>
            </w:r>
          </w:p>
          <w:bookmarkEnd w:id="15"/>
          <w:p w14:paraId="58C55902" w14:textId="77777777" w:rsidR="000B6501" w:rsidRPr="000B6501" w:rsidRDefault="000B6501" w:rsidP="00281926">
            <w:pPr>
              <w:rPr>
                <w:rFonts w:ascii="Verdana" w:hAnsi="Verdana"/>
              </w:rPr>
            </w:pPr>
          </w:p>
        </w:tc>
      </w:tr>
      <w:tr w:rsidR="00443763" w:rsidRPr="000B6501" w14:paraId="79759629" w14:textId="77777777" w:rsidTr="002E12F0">
        <w:trPr>
          <w:trHeight w:val="90"/>
        </w:trPr>
        <w:tc>
          <w:tcPr>
            <w:tcW w:w="1326" w:type="dxa"/>
            <w:vMerge/>
          </w:tcPr>
          <w:p w14:paraId="02B66E5D" w14:textId="77777777" w:rsidR="00922944" w:rsidRPr="000B6501" w:rsidRDefault="00922944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60" w:type="dxa"/>
            <w:gridSpan w:val="3"/>
          </w:tcPr>
          <w:p w14:paraId="2BB49B5C" w14:textId="77777777" w:rsidR="00922944" w:rsidRPr="000B6501" w:rsidRDefault="00922944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 beneficiary is adamant that alternatives are not an option for them</w:t>
            </w:r>
          </w:p>
          <w:p w14:paraId="4AB8ED64" w14:textId="77777777" w:rsidR="00922944" w:rsidRPr="000B6501" w:rsidRDefault="00922944" w:rsidP="008167F0">
            <w:pPr>
              <w:rPr>
                <w:rFonts w:ascii="Verdana" w:hAnsi="Verdana"/>
              </w:rPr>
            </w:pPr>
          </w:p>
          <w:p w14:paraId="3378056C" w14:textId="77777777" w:rsidR="00922944" w:rsidRPr="000B6501" w:rsidRDefault="00922944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OR</w:t>
            </w:r>
          </w:p>
          <w:p w14:paraId="1E74CFE3" w14:textId="77777777" w:rsidR="00922944" w:rsidRPr="000B6501" w:rsidRDefault="00922944" w:rsidP="008167F0">
            <w:pPr>
              <w:rPr>
                <w:rFonts w:ascii="Verdana" w:hAnsi="Verdana"/>
              </w:rPr>
            </w:pPr>
          </w:p>
          <w:p w14:paraId="0257EE2B" w14:textId="77777777" w:rsidR="00922944" w:rsidRPr="000B6501" w:rsidRDefault="00922944" w:rsidP="00281926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They are not willing to change and want to stay on the non-formulary product</w:t>
            </w:r>
          </w:p>
          <w:p w14:paraId="02588BAA" w14:textId="77777777" w:rsidR="00922944" w:rsidRPr="000B6501" w:rsidRDefault="00922944" w:rsidP="00281926">
            <w:pPr>
              <w:rPr>
                <w:rFonts w:ascii="Verdana" w:hAnsi="Verdana"/>
              </w:rPr>
            </w:pPr>
          </w:p>
        </w:tc>
        <w:tc>
          <w:tcPr>
            <w:tcW w:w="13748" w:type="dxa"/>
            <w:tcBorders>
              <w:bottom w:val="single" w:sz="4" w:space="0" w:color="auto"/>
            </w:tcBorders>
          </w:tcPr>
          <w:p w14:paraId="3031E069" w14:textId="7F6E8971" w:rsidR="00922944" w:rsidRPr="000B6501" w:rsidRDefault="00922944" w:rsidP="00472E3F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 to</w:t>
            </w:r>
            <w:r w:rsidR="00081A67">
              <w:rPr>
                <w:rFonts w:ascii="Verdana" w:hAnsi="Verdana"/>
              </w:rPr>
              <w:t xml:space="preserve"> the </w:t>
            </w:r>
            <w:r w:rsidR="00081A67" w:rsidRPr="00081A67">
              <w:rPr>
                <w:rFonts w:ascii="Verdana" w:hAnsi="Verdana"/>
                <w:b/>
                <w:bCs/>
              </w:rPr>
              <w:t>Decision Grid</w:t>
            </w:r>
            <w:r w:rsidR="00081A67">
              <w:rPr>
                <w:rFonts w:ascii="Verdana" w:hAnsi="Verdana"/>
              </w:rPr>
              <w:t xml:space="preserve"> in</w:t>
            </w:r>
            <w:r w:rsidRPr="000B6501">
              <w:rPr>
                <w:rFonts w:ascii="Verdana" w:hAnsi="Verdana"/>
              </w:rPr>
              <w:t xml:space="preserve"> </w:t>
            </w:r>
            <w:hyperlink r:id="rId27" w:anchor="!/view?docid=a23bc09d-37f7-4105-ba57-d4e9d7f512ff" w:history="1">
              <w:r w:rsidR="00081A67" w:rsidRPr="00081A67">
                <w:rPr>
                  <w:rStyle w:val="Hyperlink"/>
                  <w:rFonts w:ascii="Verdana" w:hAnsi="Verdana"/>
                </w:rPr>
                <w:t>Compass MED D - CCR - Coverage Determinations and Redeterminations (Appeals)</w:t>
              </w:r>
            </w:hyperlink>
            <w:r w:rsidR="00081A67">
              <w:rPr>
                <w:rFonts w:ascii="Verdana" w:hAnsi="Verdana"/>
              </w:rPr>
              <w:t xml:space="preserve"> for available options. </w:t>
            </w:r>
          </w:p>
          <w:p w14:paraId="047AE37B" w14:textId="77777777" w:rsidR="00922944" w:rsidRPr="000B6501" w:rsidRDefault="00922944" w:rsidP="00472E3F">
            <w:pPr>
              <w:rPr>
                <w:rFonts w:ascii="Verdana" w:hAnsi="Verdana"/>
              </w:rPr>
            </w:pPr>
          </w:p>
        </w:tc>
      </w:tr>
      <w:tr w:rsidR="003A3CFD" w:rsidRPr="000B6501" w14:paraId="5D3A844C" w14:textId="77777777" w:rsidTr="002E12F0">
        <w:tc>
          <w:tcPr>
            <w:tcW w:w="1326" w:type="dxa"/>
            <w:vMerge w:val="restart"/>
          </w:tcPr>
          <w:p w14:paraId="43A9462B" w14:textId="77777777" w:rsidR="00326816" w:rsidRPr="000B6501" w:rsidRDefault="00276E81" w:rsidP="008167F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27508" w:type="dxa"/>
            <w:gridSpan w:val="4"/>
            <w:tcBorders>
              <w:bottom w:val="single" w:sz="4" w:space="0" w:color="auto"/>
            </w:tcBorders>
          </w:tcPr>
          <w:p w14:paraId="4FF5C66C" w14:textId="77777777" w:rsidR="00326816" w:rsidRDefault="00326816" w:rsidP="008167F0">
            <w:pPr>
              <w:rPr>
                <w:rFonts w:ascii="Verdana" w:hAnsi="Verdana"/>
              </w:rPr>
            </w:pPr>
            <w:bookmarkStart w:id="16" w:name="TransitionFillProcessStep6"/>
            <w:r w:rsidRPr="000B6501">
              <w:rPr>
                <w:rFonts w:ascii="Verdana" w:hAnsi="Verdana"/>
              </w:rPr>
              <w:t>Ask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questions</w:t>
            </w:r>
            <w:bookmarkEnd w:id="16"/>
            <w:r w:rsidR="003F7D6A" w:rsidRPr="000B6501">
              <w:rPr>
                <w:rFonts w:ascii="Verdana" w:hAnsi="Verdana"/>
              </w:rPr>
              <w:t>.</w:t>
            </w:r>
          </w:p>
          <w:p w14:paraId="22C9FF2B" w14:textId="77777777" w:rsidR="000F4311" w:rsidRDefault="000F4311" w:rsidP="008167F0">
            <w:pPr>
              <w:rPr>
                <w:rFonts w:ascii="Verdana" w:hAnsi="Verdana"/>
              </w:rPr>
            </w:pPr>
          </w:p>
          <w:p w14:paraId="7DB23DFB" w14:textId="37517A94" w:rsidR="000F4311" w:rsidRDefault="000F4311" w:rsidP="008167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 </w:t>
            </w:r>
            <w:r w:rsidR="00960AE3">
              <w:rPr>
                <w:rFonts w:ascii="Verdana" w:hAnsi="Verdana"/>
              </w:rPr>
              <w:t xml:space="preserve">more </w:t>
            </w:r>
            <w:r w:rsidRPr="00960AE3">
              <w:rPr>
                <w:rFonts w:ascii="Verdana" w:hAnsi="Verdana"/>
                <w:b/>
                <w:bCs/>
              </w:rPr>
              <w:t>Transition Fill</w:t>
            </w:r>
            <w:r>
              <w:rPr>
                <w:rFonts w:ascii="Verdana" w:hAnsi="Verdana"/>
              </w:rPr>
              <w:t xml:space="preserve"> information on</w:t>
            </w:r>
            <w:r w:rsidR="009F72BC">
              <w:rPr>
                <w:rFonts w:ascii="Verdana" w:hAnsi="Verdana"/>
              </w:rPr>
              <w:t xml:space="preserve"> the following, please refer to the </w:t>
            </w:r>
            <w:hyperlink w:anchor="_Transition_Fills_Scenario" w:history="1">
              <w:r w:rsidR="009F72BC" w:rsidRPr="009F72BC">
                <w:rPr>
                  <w:rStyle w:val="Hyperlink"/>
                  <w:rFonts w:ascii="Verdana" w:hAnsi="Verdana"/>
                </w:rPr>
                <w:t>Transition Fills Scenario Guide</w:t>
              </w:r>
            </w:hyperlink>
            <w:r>
              <w:rPr>
                <w:rFonts w:ascii="Verdana" w:hAnsi="Verdana"/>
              </w:rPr>
              <w:t xml:space="preserve">: </w:t>
            </w:r>
          </w:p>
          <w:bookmarkStart w:id="17" w:name="OLE_LINK34"/>
          <w:p w14:paraId="3A00BCDF" w14:textId="6B024912" w:rsidR="000F4311" w:rsidRPr="005C50E9" w:rsidRDefault="003D3877">
            <w:pPr>
              <w:numPr>
                <w:ilvl w:val="0"/>
                <w:numId w:val="47"/>
              </w:numPr>
              <w:rPr>
                <w:rFonts w:ascii="Verdana" w:hAnsi="Verdana"/>
                <w:iCs/>
              </w:rPr>
            </w:pPr>
            <w:r>
              <w:rPr>
                <w:rFonts w:ascii="Verdana" w:hAnsi="Verdana"/>
                <w:iCs/>
              </w:rPr>
              <w:fldChar w:fldCharType="begin"/>
            </w:r>
            <w:r>
              <w:rPr>
                <w:rFonts w:ascii="Verdana" w:hAnsi="Verdana"/>
                <w:iCs/>
              </w:rPr>
              <w:instrText xml:space="preserve"> HYPERLINK  \l "_PA_and_Step" </w:instrText>
            </w:r>
            <w:r>
              <w:rPr>
                <w:rFonts w:ascii="Verdana" w:hAnsi="Verdana"/>
                <w:iCs/>
              </w:rPr>
            </w:r>
            <w:r>
              <w:rPr>
                <w:rFonts w:ascii="Verdana" w:hAnsi="Verdana"/>
                <w:iCs/>
              </w:rPr>
              <w:fldChar w:fldCharType="separate"/>
            </w:r>
            <w:r w:rsidR="000F4311" w:rsidRPr="003D3877">
              <w:rPr>
                <w:rStyle w:val="Hyperlink"/>
                <w:rFonts w:ascii="Verdana" w:hAnsi="Verdana"/>
                <w:iCs/>
              </w:rPr>
              <w:t>PA and Step Therapy Meds</w:t>
            </w:r>
            <w:r>
              <w:rPr>
                <w:rFonts w:ascii="Verdana" w:hAnsi="Verdana"/>
                <w:iCs/>
              </w:rPr>
              <w:fldChar w:fldCharType="end"/>
            </w:r>
          </w:p>
          <w:p w14:paraId="495A8610" w14:textId="4CCF4009" w:rsidR="000F4311" w:rsidRPr="005C50E9" w:rsidRDefault="000F4311">
            <w:pPr>
              <w:numPr>
                <w:ilvl w:val="0"/>
                <w:numId w:val="47"/>
              </w:numPr>
              <w:rPr>
                <w:rFonts w:ascii="Verdana" w:hAnsi="Verdana"/>
                <w:iCs/>
              </w:rPr>
            </w:pPr>
            <w:hyperlink w:anchor="_Compound_Meds" w:history="1">
              <w:r w:rsidRPr="003D3877">
                <w:rPr>
                  <w:rStyle w:val="Hyperlink"/>
                  <w:rFonts w:ascii="Verdana" w:hAnsi="Verdana"/>
                  <w:iCs/>
                </w:rPr>
                <w:t>Compound Meds</w:t>
              </w:r>
            </w:hyperlink>
          </w:p>
          <w:p w14:paraId="30D5DF7E" w14:textId="6E414BAF" w:rsidR="000F4311" w:rsidRPr="005C50E9" w:rsidRDefault="000F4311">
            <w:pPr>
              <w:numPr>
                <w:ilvl w:val="0"/>
                <w:numId w:val="47"/>
              </w:numPr>
              <w:rPr>
                <w:rFonts w:ascii="Verdana" w:hAnsi="Verdana"/>
                <w:iCs/>
              </w:rPr>
            </w:pPr>
            <w:hyperlink w:anchor="_LTC_Beneficiaries" w:history="1">
              <w:r w:rsidRPr="003D3877">
                <w:rPr>
                  <w:rStyle w:val="Hyperlink"/>
                  <w:rFonts w:ascii="Verdana" w:hAnsi="Verdana"/>
                  <w:iCs/>
                </w:rPr>
                <w:t>LTC Beneficiaries</w:t>
              </w:r>
            </w:hyperlink>
          </w:p>
          <w:bookmarkEnd w:id="17"/>
          <w:p w14:paraId="3153218A" w14:textId="77777777" w:rsidR="00E16BA8" w:rsidRPr="000B6501" w:rsidRDefault="00E16BA8" w:rsidP="009F72BC">
            <w:pPr>
              <w:rPr>
                <w:rFonts w:ascii="Verdana" w:hAnsi="Verdana"/>
              </w:rPr>
            </w:pPr>
          </w:p>
        </w:tc>
      </w:tr>
      <w:tr w:rsidR="00443763" w:rsidRPr="000B6501" w14:paraId="00937ABE" w14:textId="77777777" w:rsidTr="002E12F0">
        <w:tc>
          <w:tcPr>
            <w:tcW w:w="1326" w:type="dxa"/>
            <w:vMerge/>
          </w:tcPr>
          <w:p w14:paraId="28F2374B" w14:textId="77777777" w:rsidR="00326816" w:rsidRPr="000B6501" w:rsidRDefault="00326816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024" w:type="dxa"/>
            <w:shd w:val="pct10" w:color="auto" w:fill="auto"/>
          </w:tcPr>
          <w:p w14:paraId="6F40105C" w14:textId="77777777" w:rsidR="00326816" w:rsidRPr="000B6501" w:rsidRDefault="00326816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If…</w:t>
            </w:r>
          </w:p>
        </w:tc>
        <w:tc>
          <w:tcPr>
            <w:tcW w:w="22484" w:type="dxa"/>
            <w:gridSpan w:val="3"/>
            <w:shd w:val="pct10" w:color="auto" w:fill="auto"/>
          </w:tcPr>
          <w:p w14:paraId="07C08AA4" w14:textId="77777777" w:rsidR="00326816" w:rsidRPr="000B6501" w:rsidRDefault="00326816" w:rsidP="008167F0">
            <w:pPr>
              <w:jc w:val="center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Then…</w:t>
            </w:r>
          </w:p>
        </w:tc>
      </w:tr>
      <w:tr w:rsidR="00443763" w:rsidRPr="000B6501" w14:paraId="342BD323" w14:textId="77777777" w:rsidTr="002E12F0">
        <w:tc>
          <w:tcPr>
            <w:tcW w:w="1326" w:type="dxa"/>
            <w:vMerge/>
          </w:tcPr>
          <w:p w14:paraId="34D8713D" w14:textId="77777777" w:rsidR="00326816" w:rsidRPr="000B6501" w:rsidRDefault="00326816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024" w:type="dxa"/>
            <w:shd w:val="clear" w:color="auto" w:fill="auto"/>
          </w:tcPr>
          <w:p w14:paraId="6E7CFD10" w14:textId="77777777" w:rsidR="00326816" w:rsidRPr="000B6501" w:rsidRDefault="00326816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Yes</w:t>
            </w:r>
          </w:p>
        </w:tc>
        <w:tc>
          <w:tcPr>
            <w:tcW w:w="22484" w:type="dxa"/>
            <w:gridSpan w:val="3"/>
            <w:shd w:val="clear" w:color="auto" w:fill="auto"/>
          </w:tcPr>
          <w:p w14:paraId="4C05343A" w14:textId="77777777" w:rsidR="00326816" w:rsidRPr="000B6501" w:rsidRDefault="00326816" w:rsidP="00474631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Address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issues</w:t>
            </w:r>
            <w:r w:rsidR="003F7D6A" w:rsidRPr="000B6501">
              <w:rPr>
                <w:rFonts w:ascii="Verdana" w:hAnsi="Verdana"/>
              </w:rPr>
              <w:t>.</w:t>
            </w:r>
          </w:p>
          <w:p w14:paraId="7EB17C65" w14:textId="77777777" w:rsidR="00850A78" w:rsidRPr="000B6501" w:rsidRDefault="00850A78" w:rsidP="00474631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according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policies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procedures.</w:t>
            </w:r>
          </w:p>
          <w:p w14:paraId="79FE1B09" w14:textId="7E48F478" w:rsidR="00850A78" w:rsidRPr="00AC3F90" w:rsidRDefault="00850A78" w:rsidP="00474631">
            <w:pPr>
              <w:numPr>
                <w:ilvl w:val="1"/>
                <w:numId w:val="13"/>
              </w:numPr>
              <w:rPr>
                <w:rFonts w:ascii="Verdana" w:hAnsi="Verdana"/>
                <w:b/>
                <w:color w:val="333333"/>
              </w:rPr>
            </w:pPr>
            <w:r w:rsidRPr="00AC3F90">
              <w:rPr>
                <w:rFonts w:ascii="Verdana" w:hAnsi="Verdana"/>
              </w:rPr>
              <w:t>Refer</w:t>
            </w:r>
            <w:r w:rsidR="001701B1" w:rsidRPr="00AC3F90">
              <w:rPr>
                <w:rFonts w:ascii="Verdana" w:hAnsi="Verdana"/>
              </w:rPr>
              <w:t xml:space="preserve"> </w:t>
            </w:r>
            <w:r w:rsidRPr="00AC3F90">
              <w:rPr>
                <w:rFonts w:ascii="Verdana" w:hAnsi="Verdana"/>
              </w:rPr>
              <w:t>to</w:t>
            </w:r>
            <w:r w:rsidR="001701B1" w:rsidRPr="00AC3F90">
              <w:rPr>
                <w:rFonts w:ascii="Verdana" w:hAnsi="Verdana"/>
              </w:rPr>
              <w:t xml:space="preserve"> </w:t>
            </w:r>
            <w:hyperlink r:id="rId28" w:history="1">
              <w:bookmarkStart w:id="18" w:name="OLE_LINK88"/>
              <w:r w:rsidR="00DE7667" w:rsidRPr="009F72BC">
                <w:rPr>
                  <w:rStyle w:val="Hyperlink"/>
                  <w:rFonts w:ascii="Verdana" w:hAnsi="Verdana"/>
                </w:rPr>
                <w:t>Compass</w:t>
              </w:r>
              <w:r w:rsidR="009F72BC" w:rsidRPr="009F72BC">
                <w:rPr>
                  <w:rStyle w:val="Hyperlink"/>
                  <w:rFonts w:ascii="Verdana" w:hAnsi="Verdana"/>
                </w:rPr>
                <w:t xml:space="preserve"> </w:t>
              </w:r>
              <w:r w:rsidR="00DE7667" w:rsidRPr="009F72BC">
                <w:rPr>
                  <w:rStyle w:val="Hyperlink"/>
                  <w:rFonts w:ascii="Verdana" w:hAnsi="Verdana"/>
                </w:rPr>
                <w:t>- Call Documentation</w:t>
              </w:r>
            </w:hyperlink>
            <w:r w:rsidR="00DE7667" w:rsidRPr="00DE7667">
              <w:rPr>
                <w:rFonts w:ascii="Verdana" w:hAnsi="Verdana"/>
              </w:rPr>
              <w:t xml:space="preserve"> and </w:t>
            </w:r>
            <w:hyperlink r:id="rId29" w:history="1">
              <w:r w:rsidR="00DE7667" w:rsidRPr="009F72BC">
                <w:rPr>
                  <w:rStyle w:val="Hyperlink"/>
                  <w:rFonts w:ascii="Verdana" w:hAnsi="Verdana"/>
                </w:rPr>
                <w:t>Compass M</w:t>
              </w:r>
              <w:r w:rsidR="009F72BC" w:rsidRPr="009F72BC">
                <w:rPr>
                  <w:rStyle w:val="Hyperlink"/>
                  <w:rFonts w:ascii="Verdana" w:hAnsi="Verdana"/>
                </w:rPr>
                <w:t>ED</w:t>
              </w:r>
              <w:r w:rsidR="00DE7667" w:rsidRPr="009F72BC">
                <w:rPr>
                  <w:rStyle w:val="Hyperlink"/>
                  <w:rFonts w:ascii="Verdana" w:hAnsi="Verdana"/>
                </w:rPr>
                <w:t xml:space="preserve"> D</w:t>
              </w:r>
              <w:r w:rsidR="009F72BC" w:rsidRPr="009F72BC">
                <w:rPr>
                  <w:rStyle w:val="Hyperlink"/>
                  <w:rFonts w:ascii="Verdana" w:hAnsi="Verdana"/>
                </w:rPr>
                <w:t xml:space="preserve"> </w:t>
              </w:r>
              <w:r w:rsidR="00DE7667" w:rsidRPr="009F72BC">
                <w:rPr>
                  <w:rStyle w:val="Hyperlink"/>
                  <w:rFonts w:ascii="Verdana" w:hAnsi="Verdana"/>
                </w:rPr>
                <w:t>- Call Documentation Job Aid</w:t>
              </w:r>
            </w:hyperlink>
            <w:bookmarkEnd w:id="18"/>
            <w:r w:rsidR="00121E7C" w:rsidRPr="00AC3F90">
              <w:rPr>
                <w:rFonts w:ascii="Verdana" w:hAnsi="Verdana"/>
                <w:color w:val="333333"/>
              </w:rPr>
              <w:t>.</w:t>
            </w:r>
          </w:p>
          <w:p w14:paraId="23AB20DD" w14:textId="77777777" w:rsidR="008C3C63" w:rsidRPr="000B6501" w:rsidRDefault="008C3C63" w:rsidP="008167F0">
            <w:pPr>
              <w:rPr>
                <w:rFonts w:ascii="Verdana" w:hAnsi="Verdana"/>
              </w:rPr>
            </w:pPr>
          </w:p>
          <w:p w14:paraId="771873C8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Time:</w:t>
            </w:r>
          </w:p>
          <w:p w14:paraId="001EB406" w14:textId="4A1EA364" w:rsidR="00850A78" w:rsidRPr="000B6501" w:rsidRDefault="00850A78" w:rsidP="00474631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processing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Overrides</w:t>
            </w:r>
            <w:r w:rsidR="009F72BC">
              <w:rPr>
                <w:rFonts w:ascii="Verdana" w:hAnsi="Verdana"/>
              </w:rPr>
              <w:t>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34ED011A" w14:textId="77777777" w:rsidR="00850A78" w:rsidRPr="000B6501" w:rsidRDefault="00850A78" w:rsidP="00474631">
            <w:pPr>
              <w:numPr>
                <w:ilvl w:val="0"/>
                <w:numId w:val="15"/>
              </w:num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</w:rPr>
              <w:t>Up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three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calendar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Determination.</w:t>
            </w:r>
          </w:p>
          <w:p w14:paraId="035021C2" w14:textId="77777777" w:rsidR="000B6501" w:rsidRPr="000B6501" w:rsidRDefault="000B6501" w:rsidP="000B6501">
            <w:pPr>
              <w:ind w:left="720"/>
              <w:rPr>
                <w:rFonts w:ascii="Verdana" w:hAnsi="Verdana"/>
                <w:b/>
              </w:rPr>
            </w:pPr>
          </w:p>
        </w:tc>
      </w:tr>
      <w:tr w:rsidR="00443763" w:rsidRPr="000B6501" w14:paraId="1C36CF4A" w14:textId="77777777" w:rsidTr="002E12F0">
        <w:tc>
          <w:tcPr>
            <w:tcW w:w="1326" w:type="dxa"/>
            <w:vMerge/>
          </w:tcPr>
          <w:p w14:paraId="104FC062" w14:textId="77777777" w:rsidR="00326816" w:rsidRPr="000B6501" w:rsidRDefault="00326816" w:rsidP="008167F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024" w:type="dxa"/>
            <w:shd w:val="clear" w:color="auto" w:fill="auto"/>
          </w:tcPr>
          <w:p w14:paraId="5E9431D6" w14:textId="77777777" w:rsidR="00326816" w:rsidRPr="000B6501" w:rsidRDefault="00326816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No</w:t>
            </w:r>
          </w:p>
        </w:tc>
        <w:tc>
          <w:tcPr>
            <w:tcW w:w="22484" w:type="dxa"/>
            <w:gridSpan w:val="3"/>
            <w:shd w:val="clear" w:color="auto" w:fill="auto"/>
          </w:tcPr>
          <w:p w14:paraId="7648CE75" w14:textId="77777777" w:rsidR="00850A78" w:rsidRPr="000B6501" w:rsidRDefault="00850A78" w:rsidP="00474631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according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policies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procedures.</w:t>
            </w:r>
          </w:p>
          <w:p w14:paraId="62255809" w14:textId="03E5AB2E" w:rsidR="00850A78" w:rsidRPr="00AC3F90" w:rsidRDefault="00850A78" w:rsidP="00474631">
            <w:pPr>
              <w:numPr>
                <w:ilvl w:val="1"/>
                <w:numId w:val="16"/>
              </w:numPr>
              <w:rPr>
                <w:rFonts w:ascii="Verdana" w:hAnsi="Verdana"/>
                <w:b/>
                <w:color w:val="333333"/>
              </w:rPr>
            </w:pPr>
            <w:r w:rsidRPr="00AC3F90">
              <w:rPr>
                <w:rFonts w:ascii="Verdana" w:hAnsi="Verdana"/>
              </w:rPr>
              <w:t>Refer</w:t>
            </w:r>
            <w:r w:rsidR="001701B1" w:rsidRPr="00AC3F90">
              <w:rPr>
                <w:rFonts w:ascii="Verdana" w:hAnsi="Verdana"/>
              </w:rPr>
              <w:t xml:space="preserve"> </w:t>
            </w:r>
            <w:r w:rsidRPr="00AC3F90">
              <w:rPr>
                <w:rFonts w:ascii="Verdana" w:hAnsi="Verdana"/>
              </w:rPr>
              <w:t>to</w:t>
            </w:r>
            <w:r w:rsidR="001701B1" w:rsidRPr="00AC3F90">
              <w:rPr>
                <w:rFonts w:ascii="Verdana" w:hAnsi="Verdana"/>
              </w:rPr>
              <w:t xml:space="preserve"> </w:t>
            </w:r>
            <w:hyperlink r:id="rId30" w:history="1">
              <w:r w:rsidR="00DE7667" w:rsidRPr="009F72BC">
                <w:rPr>
                  <w:rStyle w:val="Hyperlink"/>
                  <w:rFonts w:ascii="Verdana" w:hAnsi="Verdana"/>
                </w:rPr>
                <w:t>Compass</w:t>
              </w:r>
              <w:r w:rsidR="009F72BC" w:rsidRPr="009F72BC">
                <w:rPr>
                  <w:rStyle w:val="Hyperlink"/>
                  <w:rFonts w:ascii="Verdana" w:hAnsi="Verdana"/>
                </w:rPr>
                <w:t xml:space="preserve"> </w:t>
              </w:r>
              <w:r w:rsidR="00DE7667" w:rsidRPr="009F72BC">
                <w:rPr>
                  <w:rStyle w:val="Hyperlink"/>
                  <w:rFonts w:ascii="Verdana" w:hAnsi="Verdana"/>
                </w:rPr>
                <w:t>- Call Documentation</w:t>
              </w:r>
            </w:hyperlink>
            <w:r w:rsidR="00DE7667">
              <w:rPr>
                <w:rFonts w:ascii="Verdana" w:hAnsi="Verdana"/>
              </w:rPr>
              <w:t xml:space="preserve"> and </w:t>
            </w:r>
            <w:hyperlink r:id="rId31" w:history="1">
              <w:r w:rsidR="00DE7667" w:rsidRPr="009F72BC">
                <w:rPr>
                  <w:rStyle w:val="Hyperlink"/>
                  <w:rFonts w:ascii="Verdana" w:hAnsi="Verdana"/>
                </w:rPr>
                <w:t>Compass M</w:t>
              </w:r>
              <w:r w:rsidR="009F72BC" w:rsidRPr="009F72BC">
                <w:rPr>
                  <w:rStyle w:val="Hyperlink"/>
                  <w:rFonts w:ascii="Verdana" w:hAnsi="Verdana"/>
                </w:rPr>
                <w:t>ED</w:t>
              </w:r>
              <w:r w:rsidR="00DE7667" w:rsidRPr="009F72BC">
                <w:rPr>
                  <w:rStyle w:val="Hyperlink"/>
                  <w:rFonts w:ascii="Verdana" w:hAnsi="Verdana"/>
                </w:rPr>
                <w:t xml:space="preserve"> D</w:t>
              </w:r>
              <w:r w:rsidR="009F72BC" w:rsidRPr="009F72BC">
                <w:rPr>
                  <w:rStyle w:val="Hyperlink"/>
                  <w:rFonts w:ascii="Verdana" w:hAnsi="Verdana"/>
                </w:rPr>
                <w:t xml:space="preserve"> </w:t>
              </w:r>
              <w:r w:rsidR="00DE7667" w:rsidRPr="009F72BC">
                <w:rPr>
                  <w:rStyle w:val="Hyperlink"/>
                  <w:rFonts w:ascii="Verdana" w:hAnsi="Verdana"/>
                </w:rPr>
                <w:t>- Call Documentation Job Aid</w:t>
              </w:r>
            </w:hyperlink>
            <w:r w:rsidR="00121E7C" w:rsidRPr="00AC3F90">
              <w:rPr>
                <w:rFonts w:ascii="Verdana" w:hAnsi="Verdana"/>
                <w:color w:val="333333"/>
              </w:rPr>
              <w:t>.</w:t>
            </w:r>
          </w:p>
          <w:p w14:paraId="550B0FFD" w14:textId="77777777" w:rsidR="008C3C63" w:rsidRPr="000B6501" w:rsidRDefault="008C3C63" w:rsidP="008167F0">
            <w:pPr>
              <w:rPr>
                <w:rFonts w:ascii="Verdana" w:hAnsi="Verdana"/>
              </w:rPr>
            </w:pPr>
          </w:p>
          <w:p w14:paraId="24712F69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Time:</w:t>
            </w:r>
          </w:p>
          <w:p w14:paraId="25348219" w14:textId="07DC4A31" w:rsidR="00850A78" w:rsidRPr="000B6501" w:rsidRDefault="00850A78" w:rsidP="00474631">
            <w:pPr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processing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Overrides</w:t>
            </w:r>
            <w:r w:rsidR="009F72BC">
              <w:rPr>
                <w:rFonts w:ascii="Verdana" w:hAnsi="Verdana"/>
              </w:rPr>
              <w:t>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6A6FC056" w14:textId="77777777" w:rsidR="00326816" w:rsidRPr="000B6501" w:rsidRDefault="00850A78" w:rsidP="00474631">
            <w:pPr>
              <w:numPr>
                <w:ilvl w:val="0"/>
                <w:numId w:val="17"/>
              </w:num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</w:rPr>
              <w:t>Up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three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calendar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Determination.</w:t>
            </w:r>
          </w:p>
          <w:p w14:paraId="5C32997A" w14:textId="77777777" w:rsidR="000B6501" w:rsidRPr="000B6501" w:rsidRDefault="000B6501" w:rsidP="000B6501">
            <w:pPr>
              <w:ind w:left="720"/>
              <w:rPr>
                <w:rFonts w:ascii="Verdana" w:hAnsi="Verdana"/>
                <w:b/>
              </w:rPr>
            </w:pPr>
          </w:p>
        </w:tc>
      </w:tr>
    </w:tbl>
    <w:p w14:paraId="7DBB07EC" w14:textId="77777777" w:rsidR="00326816" w:rsidRPr="000B6501" w:rsidRDefault="00326816" w:rsidP="008167F0">
      <w:pPr>
        <w:jc w:val="right"/>
        <w:rPr>
          <w:rFonts w:ascii="Verdana" w:hAnsi="Verdana"/>
        </w:rPr>
      </w:pPr>
    </w:p>
    <w:bookmarkStart w:id="19" w:name="_Transition_Fills_(PA"/>
    <w:bookmarkStart w:id="20" w:name="_Transition_Fills_(LTC"/>
    <w:bookmarkEnd w:id="19"/>
    <w:bookmarkEnd w:id="20"/>
    <w:p w14:paraId="0B2BD1DD" w14:textId="77777777" w:rsidR="00167D3F" w:rsidRPr="000B6501" w:rsidRDefault="00DE3B2B" w:rsidP="008167F0">
      <w:pPr>
        <w:jc w:val="right"/>
        <w:rPr>
          <w:rFonts w:ascii="Verdana" w:hAnsi="Verdana"/>
        </w:rPr>
      </w:pPr>
      <w:r w:rsidRPr="000B6501">
        <w:rPr>
          <w:rFonts w:ascii="Verdana" w:hAnsi="Verdana"/>
        </w:rPr>
        <w:fldChar w:fldCharType="begin"/>
      </w:r>
      <w:r w:rsidR="00C5736F" w:rsidRPr="000B6501">
        <w:rPr>
          <w:rFonts w:ascii="Verdana" w:hAnsi="Verdana"/>
        </w:rPr>
        <w:instrText>HYPERLINK  \l "_top"</w:instrText>
      </w:r>
      <w:r w:rsidRPr="000B6501">
        <w:rPr>
          <w:rFonts w:ascii="Verdana" w:hAnsi="Verdana"/>
        </w:rPr>
      </w:r>
      <w:r w:rsidRPr="000B6501">
        <w:rPr>
          <w:rFonts w:ascii="Verdana" w:hAnsi="Verdana"/>
        </w:rPr>
        <w:fldChar w:fldCharType="separate"/>
      </w:r>
      <w:r w:rsidR="00167D3F" w:rsidRPr="000B6501">
        <w:rPr>
          <w:rStyle w:val="Hyperlink"/>
          <w:rFonts w:ascii="Verdana" w:hAnsi="Verdana"/>
        </w:rPr>
        <w:t>Top</w:t>
      </w:r>
      <w:r w:rsidR="001701B1" w:rsidRPr="000B6501">
        <w:rPr>
          <w:rStyle w:val="Hyperlink"/>
          <w:rFonts w:ascii="Verdana" w:hAnsi="Verdana"/>
        </w:rPr>
        <w:t xml:space="preserve"> </w:t>
      </w:r>
      <w:r w:rsidR="00167D3F" w:rsidRPr="000B6501">
        <w:rPr>
          <w:rStyle w:val="Hyperlink"/>
          <w:rFonts w:ascii="Verdana" w:hAnsi="Verdana"/>
        </w:rPr>
        <w:t>of</w:t>
      </w:r>
      <w:r w:rsidR="001701B1" w:rsidRPr="000B6501">
        <w:rPr>
          <w:rStyle w:val="Hyperlink"/>
          <w:rFonts w:ascii="Verdana" w:hAnsi="Verdana"/>
        </w:rPr>
        <w:t xml:space="preserve"> </w:t>
      </w:r>
      <w:r w:rsidR="00167D3F" w:rsidRPr="000B6501">
        <w:rPr>
          <w:rStyle w:val="Hyperlink"/>
          <w:rFonts w:ascii="Verdana" w:hAnsi="Verdana"/>
        </w:rPr>
        <w:t>the</w:t>
      </w:r>
      <w:r w:rsidR="001701B1" w:rsidRPr="000B6501">
        <w:rPr>
          <w:rStyle w:val="Hyperlink"/>
          <w:rFonts w:ascii="Verdana" w:hAnsi="Verdana"/>
        </w:rPr>
        <w:t xml:space="preserve"> </w:t>
      </w:r>
      <w:r w:rsidR="00167D3F" w:rsidRPr="000B6501">
        <w:rPr>
          <w:rStyle w:val="Hyperlink"/>
          <w:rFonts w:ascii="Verdana" w:hAnsi="Verdana"/>
        </w:rPr>
        <w:t>Document</w:t>
      </w:r>
      <w:r w:rsidRPr="000B6501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67D3F" w:rsidRPr="008167F0" w14:paraId="54A31ADB" w14:textId="77777777" w:rsidTr="00641AC4">
        <w:tc>
          <w:tcPr>
            <w:tcW w:w="5000" w:type="pct"/>
            <w:shd w:val="clear" w:color="auto" w:fill="C0C0C0"/>
          </w:tcPr>
          <w:p w14:paraId="2B1EB8C5" w14:textId="77777777" w:rsidR="00167D3F" w:rsidRPr="00121E7C" w:rsidRDefault="00263EAA" w:rsidP="0043089F">
            <w:pPr>
              <w:pStyle w:val="Heading2"/>
              <w:rPr>
                <w:rFonts w:ascii="Verdana" w:hAnsi="Verdana"/>
                <w:i w:val="0"/>
              </w:rPr>
            </w:pPr>
            <w:bookmarkStart w:id="21" w:name="_Toc24437633"/>
            <w:bookmarkStart w:id="22" w:name="_Toc149848631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="00166B66">
              <w:rPr>
                <w:rFonts w:ascii="Verdana" w:hAnsi="Verdana"/>
                <w:i w:val="0"/>
              </w:rPr>
              <w:t>-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="00166B66">
              <w:rPr>
                <w:rFonts w:ascii="Verdana" w:hAnsi="Verdana"/>
                <w:i w:val="0"/>
              </w:rPr>
              <w:t>Cost</w:t>
            </w:r>
            <w:bookmarkEnd w:id="21"/>
            <w:bookmarkEnd w:id="22"/>
          </w:p>
        </w:tc>
      </w:tr>
    </w:tbl>
    <w:p w14:paraId="104A33BB" w14:textId="77777777" w:rsidR="0031281F" w:rsidRPr="000B6501" w:rsidRDefault="00DA5BE7" w:rsidP="008167F0">
      <w:p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>Formulary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drugs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that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require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Utilization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Management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(UM)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edit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take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applicable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formulary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share/tier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that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would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apply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upon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approval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UM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edit.</w:t>
      </w:r>
    </w:p>
    <w:p w14:paraId="09AF3D31" w14:textId="77777777" w:rsidR="00A0391C" w:rsidRPr="000B6501" w:rsidRDefault="00A0391C" w:rsidP="008167F0">
      <w:pPr>
        <w:autoSpaceDE w:val="0"/>
        <w:autoSpaceDN w:val="0"/>
        <w:ind w:left="360"/>
        <w:rPr>
          <w:rFonts w:ascii="Verdana" w:hAnsi="Verdana"/>
        </w:rPr>
      </w:pPr>
    </w:p>
    <w:p w14:paraId="22CB3361" w14:textId="77777777" w:rsidR="00775782" w:rsidRPr="000B6501" w:rsidRDefault="00775782" w:rsidP="008167F0">
      <w:pPr>
        <w:autoSpaceDE w:val="0"/>
        <w:autoSpaceDN w:val="0"/>
        <w:adjustRightInd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>If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CCR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receives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call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from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regarding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high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cost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shares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related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recent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claim,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CCR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should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perform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following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2271"/>
        <w:gridCol w:w="9595"/>
      </w:tblGrid>
      <w:tr w:rsidR="00775782" w:rsidRPr="000B6501" w14:paraId="07EDF68F" w14:textId="77777777" w:rsidTr="00DE7667">
        <w:tc>
          <w:tcPr>
            <w:tcW w:w="1491" w:type="dxa"/>
            <w:shd w:val="pct10" w:color="auto" w:fill="auto"/>
          </w:tcPr>
          <w:p w14:paraId="687EDB04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Step</w:t>
            </w:r>
          </w:p>
        </w:tc>
        <w:tc>
          <w:tcPr>
            <w:tcW w:w="24010" w:type="dxa"/>
            <w:gridSpan w:val="2"/>
            <w:shd w:val="pct10" w:color="auto" w:fill="auto"/>
          </w:tcPr>
          <w:p w14:paraId="65A50CEE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Action</w:t>
            </w:r>
          </w:p>
        </w:tc>
      </w:tr>
      <w:tr w:rsidR="00775782" w:rsidRPr="000B6501" w14:paraId="6549A75F" w14:textId="77777777" w:rsidTr="00DE7667">
        <w:tc>
          <w:tcPr>
            <w:tcW w:w="1491" w:type="dxa"/>
            <w:vMerge w:val="restart"/>
          </w:tcPr>
          <w:p w14:paraId="4F18753C" w14:textId="77777777" w:rsidR="00775782" w:rsidRPr="000B6501" w:rsidRDefault="005C50E9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1</w:t>
            </w:r>
          </w:p>
        </w:tc>
        <w:tc>
          <w:tcPr>
            <w:tcW w:w="24010" w:type="dxa"/>
            <w:gridSpan w:val="2"/>
            <w:tcBorders>
              <w:bottom w:val="single" w:sz="4" w:space="0" w:color="auto"/>
            </w:tcBorders>
          </w:tcPr>
          <w:p w14:paraId="78565BDB" w14:textId="130A258D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Determine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whether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has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Claim</w:t>
            </w:r>
            <w:r w:rsidR="00960AE3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Type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listed.</w:t>
            </w:r>
          </w:p>
          <w:p w14:paraId="240ED154" w14:textId="2611C779" w:rsidR="00775782" w:rsidRPr="000B6501" w:rsidRDefault="00775782" w:rsidP="0047463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Refer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bookmarkStart w:id="23" w:name="OLE_LINK48"/>
            <w:r w:rsidR="009F72BC">
              <w:rPr>
                <w:rFonts w:ascii="Verdana" w:hAnsi="Verdana" w:cs="Arial"/>
                <w:color w:val="0000FF"/>
                <w:u w:val="single"/>
              </w:rPr>
              <w:fldChar w:fldCharType="begin"/>
            </w:r>
            <w:r w:rsidR="009F72BC">
              <w:rPr>
                <w:rFonts w:ascii="Verdana" w:hAnsi="Verdana" w:cs="Arial"/>
                <w:color w:val="0000FF"/>
                <w:u w:val="single"/>
              </w:rPr>
              <w:instrText xml:space="preserve"> HYPERLINK  \l "_Transition_Fill_Coding" </w:instrText>
            </w:r>
            <w:r w:rsidR="009F72BC">
              <w:rPr>
                <w:rFonts w:ascii="Verdana" w:hAnsi="Verdana" w:cs="Arial"/>
                <w:color w:val="0000FF"/>
                <w:u w:val="single"/>
              </w:rPr>
            </w:r>
            <w:r w:rsidR="009F72BC">
              <w:rPr>
                <w:rFonts w:ascii="Verdana" w:hAnsi="Verdana" w:cs="Arial"/>
                <w:color w:val="0000FF"/>
                <w:u w:val="single"/>
              </w:rPr>
              <w:fldChar w:fldCharType="separate"/>
            </w:r>
            <w:r w:rsidRPr="009F72BC">
              <w:rPr>
                <w:rStyle w:val="Hyperlink"/>
                <w:rFonts w:ascii="Verdana" w:hAnsi="Verdana" w:cs="Arial"/>
              </w:rPr>
              <w:t>Transition</w:t>
            </w:r>
            <w:r w:rsidR="001701B1" w:rsidRPr="009F72BC">
              <w:rPr>
                <w:rStyle w:val="Hyperlink"/>
                <w:rFonts w:ascii="Verdana" w:hAnsi="Verdana" w:cs="Arial"/>
              </w:rPr>
              <w:t xml:space="preserve"> </w:t>
            </w:r>
            <w:r w:rsidRPr="009F72BC">
              <w:rPr>
                <w:rStyle w:val="Hyperlink"/>
                <w:rFonts w:ascii="Verdana" w:hAnsi="Verdana" w:cs="Arial"/>
              </w:rPr>
              <w:t>Fill</w:t>
            </w:r>
            <w:r w:rsidR="001701B1" w:rsidRPr="009F72BC">
              <w:rPr>
                <w:rStyle w:val="Hyperlink"/>
                <w:rFonts w:ascii="Verdana" w:hAnsi="Verdana" w:cs="Arial"/>
              </w:rPr>
              <w:t xml:space="preserve"> </w:t>
            </w:r>
            <w:r w:rsidRPr="009F72BC">
              <w:rPr>
                <w:rStyle w:val="Hyperlink"/>
                <w:rFonts w:ascii="Verdana" w:hAnsi="Verdana" w:cs="Arial"/>
              </w:rPr>
              <w:t>Coding</w:t>
            </w:r>
            <w:r w:rsidR="001701B1" w:rsidRPr="009F72BC">
              <w:rPr>
                <w:rStyle w:val="Hyperlink"/>
                <w:rFonts w:ascii="Verdana" w:hAnsi="Verdana" w:cs="Arial"/>
              </w:rPr>
              <w:t xml:space="preserve"> </w:t>
            </w:r>
            <w:r w:rsidRPr="009F72BC">
              <w:rPr>
                <w:rStyle w:val="Hyperlink"/>
                <w:rFonts w:ascii="Verdana" w:hAnsi="Verdana" w:cs="Arial"/>
              </w:rPr>
              <w:t>on</w:t>
            </w:r>
            <w:r w:rsidR="001701B1" w:rsidRPr="009F72BC">
              <w:rPr>
                <w:rStyle w:val="Hyperlink"/>
                <w:rFonts w:ascii="Verdana" w:hAnsi="Verdana" w:cs="Arial"/>
              </w:rPr>
              <w:t xml:space="preserve"> </w:t>
            </w:r>
            <w:r w:rsidRPr="009F72BC">
              <w:rPr>
                <w:rStyle w:val="Hyperlink"/>
                <w:rFonts w:ascii="Verdana" w:hAnsi="Verdana" w:cs="Arial"/>
              </w:rPr>
              <w:t>the</w:t>
            </w:r>
            <w:r w:rsidR="001701B1" w:rsidRPr="009F72BC">
              <w:rPr>
                <w:rStyle w:val="Hyperlink"/>
                <w:rFonts w:ascii="Verdana" w:hAnsi="Verdana" w:cs="Arial"/>
              </w:rPr>
              <w:t xml:space="preserve"> </w:t>
            </w:r>
            <w:r w:rsidR="00BA1367" w:rsidRPr="009F72BC">
              <w:rPr>
                <w:rStyle w:val="Hyperlink"/>
                <w:rFonts w:ascii="Verdana" w:hAnsi="Verdana" w:cs="Arial"/>
              </w:rPr>
              <w:t xml:space="preserve">Medicare Part </w:t>
            </w:r>
            <w:r w:rsidR="009F72BC" w:rsidRPr="009F72BC">
              <w:rPr>
                <w:rStyle w:val="Hyperlink"/>
                <w:rFonts w:ascii="Verdana" w:hAnsi="Verdana" w:cs="Arial"/>
              </w:rPr>
              <w:t xml:space="preserve">D </w:t>
            </w:r>
            <w:r w:rsidR="00BA1367" w:rsidRPr="009F72BC">
              <w:rPr>
                <w:rStyle w:val="Hyperlink"/>
                <w:rFonts w:ascii="Verdana" w:hAnsi="Verdana" w:cs="Arial"/>
              </w:rPr>
              <w:t>tab within Claim Details</w:t>
            </w:r>
            <w:r w:rsidR="009F72BC">
              <w:rPr>
                <w:rFonts w:ascii="Verdana" w:hAnsi="Verdana" w:cs="Arial"/>
                <w:color w:val="0000FF"/>
                <w:u w:val="single"/>
              </w:rPr>
              <w:fldChar w:fldCharType="end"/>
            </w:r>
            <w:r w:rsidR="00BA1367">
              <w:rPr>
                <w:rFonts w:ascii="Verdana" w:hAnsi="Verdana" w:cs="Arial"/>
              </w:rPr>
              <w:t xml:space="preserve"> </w:t>
            </w:r>
            <w:bookmarkEnd w:id="23"/>
            <w:r w:rsidRPr="000B6501">
              <w:rPr>
                <w:rFonts w:ascii="Verdana" w:hAnsi="Verdana" w:cs="Arial"/>
              </w:rPr>
              <w:t>section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document.</w:t>
            </w:r>
          </w:p>
          <w:p w14:paraId="6781453A" w14:textId="77777777" w:rsidR="000B6501" w:rsidRPr="000B6501" w:rsidRDefault="000B6501" w:rsidP="000B6501">
            <w:pPr>
              <w:autoSpaceDE w:val="0"/>
              <w:autoSpaceDN w:val="0"/>
              <w:adjustRightInd w:val="0"/>
              <w:ind w:left="720"/>
              <w:rPr>
                <w:rFonts w:ascii="Verdana" w:hAnsi="Verdana" w:cs="Arial"/>
              </w:rPr>
            </w:pPr>
          </w:p>
        </w:tc>
      </w:tr>
      <w:tr w:rsidR="00775782" w:rsidRPr="000B6501" w14:paraId="2EE80E74" w14:textId="77777777" w:rsidTr="00DE7667">
        <w:trPr>
          <w:trHeight w:val="90"/>
        </w:trPr>
        <w:tc>
          <w:tcPr>
            <w:tcW w:w="1491" w:type="dxa"/>
            <w:vMerge/>
          </w:tcPr>
          <w:p w14:paraId="55A6D787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308" w:type="dxa"/>
            <w:shd w:val="pct10" w:color="auto" w:fill="auto"/>
          </w:tcPr>
          <w:p w14:paraId="7CA74515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If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a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Claim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TF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Type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is…</w:t>
            </w:r>
          </w:p>
        </w:tc>
        <w:tc>
          <w:tcPr>
            <w:tcW w:w="19702" w:type="dxa"/>
            <w:shd w:val="pct10" w:color="auto" w:fill="auto"/>
          </w:tcPr>
          <w:p w14:paraId="38123E2D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 w:rsidRPr="000B6501">
              <w:rPr>
                <w:rFonts w:ascii="Verdana" w:hAnsi="Verdana" w:cs="Arial"/>
                <w:b/>
              </w:rPr>
              <w:t>Then…</w:t>
            </w:r>
          </w:p>
        </w:tc>
      </w:tr>
      <w:tr w:rsidR="00775782" w:rsidRPr="000B6501" w14:paraId="11284518" w14:textId="77777777" w:rsidTr="00DE7667">
        <w:trPr>
          <w:trHeight w:val="90"/>
        </w:trPr>
        <w:tc>
          <w:tcPr>
            <w:tcW w:w="1491" w:type="dxa"/>
            <w:vMerge/>
          </w:tcPr>
          <w:p w14:paraId="177F4445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308" w:type="dxa"/>
          </w:tcPr>
          <w:p w14:paraId="086AD387" w14:textId="77777777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Listed</w:t>
            </w:r>
          </w:p>
        </w:tc>
        <w:tc>
          <w:tcPr>
            <w:tcW w:w="19702" w:type="dxa"/>
          </w:tcPr>
          <w:p w14:paraId="054187F6" w14:textId="5E20A89A" w:rsidR="00775782" w:rsidRPr="000B6501" w:rsidRDefault="00C20F93" w:rsidP="001701B1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4054949" wp14:editId="3D4A1551">
                  <wp:extent cx="239395" cy="210820"/>
                  <wp:effectExtent l="0" t="0" r="0" b="0"/>
                  <wp:docPr id="1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775782"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keeping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with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CMS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guidance,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this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has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been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billed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at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correct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775782" w:rsidRPr="000B6501">
              <w:rPr>
                <w:rFonts w:ascii="Verdana" w:hAnsi="Verdana" w:cs="Arial"/>
              </w:rPr>
              <w:t>tier.</w:t>
            </w:r>
          </w:p>
          <w:p w14:paraId="3E099866" w14:textId="77777777" w:rsidR="000B6501" w:rsidRPr="000B6501" w:rsidRDefault="000B6501" w:rsidP="001701B1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</w:tc>
      </w:tr>
      <w:tr w:rsidR="00775782" w:rsidRPr="000B6501" w14:paraId="02FABC93" w14:textId="77777777" w:rsidTr="00DE7667">
        <w:trPr>
          <w:trHeight w:val="90"/>
        </w:trPr>
        <w:tc>
          <w:tcPr>
            <w:tcW w:w="1491" w:type="dxa"/>
            <w:vMerge/>
          </w:tcPr>
          <w:p w14:paraId="50EF5A7F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308" w:type="dxa"/>
          </w:tcPr>
          <w:p w14:paraId="096F9D7F" w14:textId="77777777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Not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listed</w:t>
            </w:r>
          </w:p>
        </w:tc>
        <w:tc>
          <w:tcPr>
            <w:tcW w:w="19702" w:type="dxa"/>
          </w:tcPr>
          <w:p w14:paraId="19F9BF12" w14:textId="77777777" w:rsidR="00775782" w:rsidRPr="000B6501" w:rsidRDefault="00E76AE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Determine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whether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claim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was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paid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correct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tier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according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plan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formulary.</w:t>
            </w:r>
          </w:p>
          <w:p w14:paraId="1D23D648" w14:textId="77777777" w:rsidR="00BC358D" w:rsidRPr="000B6501" w:rsidRDefault="00BC358D" w:rsidP="00BC358D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  <w:p w14:paraId="02E0393D" w14:textId="6B1F3E57" w:rsidR="00853C1D" w:rsidRPr="000B6501" w:rsidRDefault="00E76AE2" w:rsidP="00BC358D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Refer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hyperlink r:id="rId32" w:history="1">
              <w:r w:rsidR="009F72BC" w:rsidRPr="00BA56B7">
                <w:rPr>
                  <w:rStyle w:val="Hyperlink"/>
                  <w:rFonts w:ascii="Verdana" w:hAnsi="Verdana" w:cs="Arial"/>
                </w:rPr>
                <w:t>Compass MED D - Test Claim Index</w:t>
              </w:r>
            </w:hyperlink>
            <w:r w:rsidR="006B4E3F" w:rsidRPr="00BA56B7">
              <w:rPr>
                <w:rFonts w:ascii="Verdana" w:hAnsi="Verdana" w:cs="Arial"/>
              </w:rPr>
              <w:t>.</w:t>
            </w:r>
          </w:p>
          <w:p w14:paraId="6F008BA9" w14:textId="77777777" w:rsidR="000B6501" w:rsidRPr="000B6501" w:rsidRDefault="000B6501" w:rsidP="00BC358D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</w:tc>
      </w:tr>
      <w:tr w:rsidR="00775782" w:rsidRPr="000B6501" w14:paraId="4CB51CAB" w14:textId="77777777" w:rsidTr="00DE7667">
        <w:trPr>
          <w:trHeight w:val="530"/>
        </w:trPr>
        <w:tc>
          <w:tcPr>
            <w:tcW w:w="1491" w:type="dxa"/>
            <w:vMerge w:val="restart"/>
          </w:tcPr>
          <w:p w14:paraId="68210647" w14:textId="77777777" w:rsidR="00775782" w:rsidRPr="000B6501" w:rsidRDefault="005C50E9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2</w:t>
            </w:r>
          </w:p>
        </w:tc>
        <w:tc>
          <w:tcPr>
            <w:tcW w:w="24010" w:type="dxa"/>
            <w:gridSpan w:val="2"/>
            <w:tcBorders>
              <w:bottom w:val="single" w:sz="4" w:space="0" w:color="auto"/>
            </w:tcBorders>
          </w:tcPr>
          <w:p w14:paraId="55FAB872" w14:textId="77777777" w:rsidR="00775782" w:rsidRPr="000B6501" w:rsidRDefault="00775782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Ask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questions.</w:t>
            </w:r>
          </w:p>
          <w:p w14:paraId="0E82D86A" w14:textId="77777777" w:rsidR="00775782" w:rsidRPr="000B6501" w:rsidRDefault="00775782" w:rsidP="008167F0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</w:tc>
      </w:tr>
      <w:tr w:rsidR="00775782" w:rsidRPr="000B6501" w14:paraId="096A01C2" w14:textId="77777777" w:rsidTr="00DE7667">
        <w:trPr>
          <w:trHeight w:val="90"/>
        </w:trPr>
        <w:tc>
          <w:tcPr>
            <w:tcW w:w="1491" w:type="dxa"/>
            <w:vMerge/>
          </w:tcPr>
          <w:p w14:paraId="5B19B4DF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308" w:type="dxa"/>
            <w:shd w:val="pct10" w:color="auto" w:fill="auto"/>
          </w:tcPr>
          <w:p w14:paraId="043CA64F" w14:textId="77777777" w:rsidR="00775782" w:rsidRPr="000B6501" w:rsidRDefault="00775782" w:rsidP="008167F0">
            <w:pPr>
              <w:jc w:val="center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If…</w:t>
            </w:r>
          </w:p>
        </w:tc>
        <w:tc>
          <w:tcPr>
            <w:tcW w:w="19702" w:type="dxa"/>
            <w:shd w:val="pct10" w:color="auto" w:fill="auto"/>
          </w:tcPr>
          <w:p w14:paraId="25C4C944" w14:textId="77777777" w:rsidR="00775782" w:rsidRPr="000B6501" w:rsidRDefault="00775782" w:rsidP="008167F0">
            <w:pPr>
              <w:jc w:val="center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</w:rPr>
              <w:t>Then…</w:t>
            </w:r>
          </w:p>
        </w:tc>
      </w:tr>
      <w:tr w:rsidR="00775782" w:rsidRPr="000B6501" w14:paraId="28B46E20" w14:textId="77777777" w:rsidTr="00DE7667">
        <w:trPr>
          <w:trHeight w:val="90"/>
        </w:trPr>
        <w:tc>
          <w:tcPr>
            <w:tcW w:w="1491" w:type="dxa"/>
            <w:vMerge/>
          </w:tcPr>
          <w:p w14:paraId="42D230F7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308" w:type="dxa"/>
          </w:tcPr>
          <w:p w14:paraId="14AD4422" w14:textId="77777777" w:rsidR="00775782" w:rsidRPr="000B6501" w:rsidRDefault="00775782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Yes</w:t>
            </w:r>
          </w:p>
        </w:tc>
        <w:tc>
          <w:tcPr>
            <w:tcW w:w="19702" w:type="dxa"/>
          </w:tcPr>
          <w:p w14:paraId="561B7C01" w14:textId="77777777" w:rsidR="00850A78" w:rsidRPr="000B6501" w:rsidRDefault="00850A78" w:rsidP="009F72BC">
            <w:pPr>
              <w:numPr>
                <w:ilvl w:val="0"/>
                <w:numId w:val="59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Address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issues.</w:t>
            </w:r>
          </w:p>
          <w:p w14:paraId="77712048" w14:textId="77777777" w:rsidR="00850A78" w:rsidRPr="000B6501" w:rsidRDefault="00850A78" w:rsidP="009F72BC">
            <w:pPr>
              <w:numPr>
                <w:ilvl w:val="0"/>
                <w:numId w:val="59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according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policies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procedures.</w:t>
            </w:r>
          </w:p>
          <w:p w14:paraId="49F055E7" w14:textId="60AFFFF7" w:rsidR="00850A78" w:rsidRPr="000B6501" w:rsidRDefault="00850A78" w:rsidP="009F72BC">
            <w:pPr>
              <w:numPr>
                <w:ilvl w:val="1"/>
                <w:numId w:val="59"/>
              </w:numPr>
              <w:rPr>
                <w:rFonts w:ascii="Verdana" w:hAnsi="Verdana"/>
                <w:b/>
                <w:color w:val="333333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33" w:history="1">
              <w:bookmarkStart w:id="24" w:name="OLE_LINK60"/>
              <w:r w:rsidR="00DE7667" w:rsidRPr="009F72BC">
                <w:rPr>
                  <w:rStyle w:val="Hyperlink"/>
                  <w:rFonts w:ascii="Verdana" w:hAnsi="Verdana"/>
                </w:rPr>
                <w:t>Compass</w:t>
              </w:r>
              <w:r w:rsidR="009F72BC" w:rsidRPr="009F72BC">
                <w:rPr>
                  <w:rStyle w:val="Hyperlink"/>
                  <w:rFonts w:ascii="Verdana" w:hAnsi="Verdana"/>
                </w:rPr>
                <w:t xml:space="preserve"> </w:t>
              </w:r>
              <w:r w:rsidR="00DE7667" w:rsidRPr="009F72BC">
                <w:rPr>
                  <w:rStyle w:val="Hyperlink"/>
                  <w:rFonts w:ascii="Verdana" w:hAnsi="Verdana"/>
                </w:rPr>
                <w:t>- Call Documentation</w:t>
              </w:r>
            </w:hyperlink>
            <w:r w:rsidR="00DE7667">
              <w:rPr>
                <w:rFonts w:ascii="Verdana" w:hAnsi="Verdana"/>
              </w:rPr>
              <w:t xml:space="preserve"> and </w:t>
            </w:r>
            <w:hyperlink r:id="rId34" w:history="1">
              <w:r w:rsidR="00DE7667" w:rsidRPr="009F72BC">
                <w:rPr>
                  <w:rStyle w:val="Hyperlink"/>
                  <w:rFonts w:ascii="Verdana" w:hAnsi="Verdana"/>
                </w:rPr>
                <w:t>Compass M</w:t>
              </w:r>
              <w:r w:rsidR="009F72BC" w:rsidRPr="009F72BC">
                <w:rPr>
                  <w:rStyle w:val="Hyperlink"/>
                  <w:rFonts w:ascii="Verdana" w:hAnsi="Verdana"/>
                </w:rPr>
                <w:t>ED</w:t>
              </w:r>
              <w:r w:rsidR="00DE7667" w:rsidRPr="009F72BC">
                <w:rPr>
                  <w:rStyle w:val="Hyperlink"/>
                  <w:rFonts w:ascii="Verdana" w:hAnsi="Verdana"/>
                </w:rPr>
                <w:t xml:space="preserve"> D</w:t>
              </w:r>
              <w:r w:rsidR="009F72BC" w:rsidRPr="009F72BC">
                <w:rPr>
                  <w:rStyle w:val="Hyperlink"/>
                  <w:rFonts w:ascii="Verdana" w:hAnsi="Verdana"/>
                </w:rPr>
                <w:t xml:space="preserve"> </w:t>
              </w:r>
              <w:r w:rsidR="00DE7667" w:rsidRPr="009F72BC">
                <w:rPr>
                  <w:rStyle w:val="Hyperlink"/>
                  <w:rFonts w:ascii="Verdana" w:hAnsi="Verdana"/>
                </w:rPr>
                <w:t>- Call Documentation Job Aid</w:t>
              </w:r>
            </w:hyperlink>
            <w:bookmarkEnd w:id="24"/>
            <w:r w:rsidR="00121E7C" w:rsidRPr="000B6501">
              <w:rPr>
                <w:rFonts w:ascii="Verdana" w:hAnsi="Verdana"/>
                <w:color w:val="333333"/>
              </w:rPr>
              <w:t>.</w:t>
            </w:r>
          </w:p>
          <w:p w14:paraId="0A7910A4" w14:textId="77777777" w:rsidR="008C3C63" w:rsidRPr="000B6501" w:rsidRDefault="008C3C63" w:rsidP="008167F0">
            <w:pPr>
              <w:rPr>
                <w:rFonts w:ascii="Verdana" w:hAnsi="Verdana"/>
              </w:rPr>
            </w:pPr>
          </w:p>
          <w:p w14:paraId="61801D59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Time:</w:t>
            </w:r>
          </w:p>
          <w:p w14:paraId="0AF2BAE6" w14:textId="1D76CE08" w:rsidR="00850A78" w:rsidRPr="000B6501" w:rsidRDefault="00850A78" w:rsidP="00474631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processing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Overrides</w:t>
            </w:r>
            <w:r w:rsidR="009F72BC">
              <w:rPr>
                <w:rFonts w:ascii="Verdana" w:hAnsi="Verdana"/>
              </w:rPr>
              <w:t>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1CF8BBAF" w14:textId="77777777" w:rsidR="00775782" w:rsidRPr="000B6501" w:rsidRDefault="00850A78" w:rsidP="00474631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Up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three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calendar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Determination.</w:t>
            </w:r>
          </w:p>
          <w:p w14:paraId="0D44EFE9" w14:textId="77777777" w:rsidR="000B6501" w:rsidRPr="000B6501" w:rsidRDefault="000B6501" w:rsidP="000B6501">
            <w:pPr>
              <w:ind w:left="720"/>
              <w:rPr>
                <w:rFonts w:ascii="Verdana" w:hAnsi="Verdana"/>
              </w:rPr>
            </w:pPr>
          </w:p>
        </w:tc>
      </w:tr>
      <w:tr w:rsidR="00775782" w:rsidRPr="000B6501" w14:paraId="7CC17D6E" w14:textId="77777777" w:rsidTr="00DE7667">
        <w:trPr>
          <w:trHeight w:val="90"/>
        </w:trPr>
        <w:tc>
          <w:tcPr>
            <w:tcW w:w="1491" w:type="dxa"/>
            <w:vMerge/>
          </w:tcPr>
          <w:p w14:paraId="2CF1891C" w14:textId="77777777" w:rsidR="00775782" w:rsidRPr="000B6501" w:rsidRDefault="00775782" w:rsidP="008167F0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308" w:type="dxa"/>
          </w:tcPr>
          <w:p w14:paraId="4925B596" w14:textId="77777777" w:rsidR="00775782" w:rsidRPr="000B6501" w:rsidRDefault="00775782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No</w:t>
            </w:r>
          </w:p>
        </w:tc>
        <w:tc>
          <w:tcPr>
            <w:tcW w:w="19702" w:type="dxa"/>
          </w:tcPr>
          <w:p w14:paraId="46B42118" w14:textId="77777777" w:rsidR="00850A78" w:rsidRPr="000B6501" w:rsidRDefault="00850A78" w:rsidP="00474631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according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policies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procedures.</w:t>
            </w:r>
          </w:p>
          <w:p w14:paraId="07667B40" w14:textId="7C941322" w:rsidR="00850A78" w:rsidRPr="000B6501" w:rsidRDefault="00850A78" w:rsidP="00474631">
            <w:pPr>
              <w:numPr>
                <w:ilvl w:val="1"/>
                <w:numId w:val="31"/>
              </w:numPr>
              <w:rPr>
                <w:rFonts w:ascii="Verdana" w:hAnsi="Verdana"/>
                <w:b/>
                <w:color w:val="333333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35" w:history="1">
              <w:r w:rsidR="00DE7667" w:rsidRPr="009F72BC">
                <w:rPr>
                  <w:rStyle w:val="Hyperlink"/>
                  <w:rFonts w:ascii="Verdana" w:hAnsi="Verdana"/>
                </w:rPr>
                <w:t>Compass</w:t>
              </w:r>
              <w:r w:rsidR="009F72BC" w:rsidRPr="009F72BC">
                <w:rPr>
                  <w:rStyle w:val="Hyperlink"/>
                  <w:rFonts w:ascii="Verdana" w:hAnsi="Verdana"/>
                </w:rPr>
                <w:t xml:space="preserve"> </w:t>
              </w:r>
              <w:r w:rsidR="00DE7667" w:rsidRPr="009F72BC">
                <w:rPr>
                  <w:rStyle w:val="Hyperlink"/>
                  <w:rFonts w:ascii="Verdana" w:hAnsi="Verdana"/>
                </w:rPr>
                <w:t>- Call Documentation</w:t>
              </w:r>
            </w:hyperlink>
            <w:r w:rsidR="00DE7667">
              <w:rPr>
                <w:rFonts w:ascii="Verdana" w:hAnsi="Verdana"/>
              </w:rPr>
              <w:t xml:space="preserve"> and </w:t>
            </w:r>
            <w:hyperlink r:id="rId36" w:history="1">
              <w:r w:rsidR="00DE7667" w:rsidRPr="009F72BC">
                <w:rPr>
                  <w:rStyle w:val="Hyperlink"/>
                  <w:rFonts w:ascii="Verdana" w:hAnsi="Verdana"/>
                </w:rPr>
                <w:t>Compass M</w:t>
              </w:r>
              <w:r w:rsidR="009F72BC" w:rsidRPr="009F72BC">
                <w:rPr>
                  <w:rStyle w:val="Hyperlink"/>
                  <w:rFonts w:ascii="Verdana" w:hAnsi="Verdana"/>
                </w:rPr>
                <w:t>ED</w:t>
              </w:r>
              <w:r w:rsidR="00DE7667" w:rsidRPr="009F72BC">
                <w:rPr>
                  <w:rStyle w:val="Hyperlink"/>
                  <w:rFonts w:ascii="Verdana" w:hAnsi="Verdana"/>
                </w:rPr>
                <w:t xml:space="preserve"> D</w:t>
              </w:r>
              <w:r w:rsidR="009F72BC" w:rsidRPr="009F72BC">
                <w:rPr>
                  <w:rStyle w:val="Hyperlink"/>
                  <w:rFonts w:ascii="Verdana" w:hAnsi="Verdana"/>
                </w:rPr>
                <w:t xml:space="preserve"> </w:t>
              </w:r>
              <w:r w:rsidR="00DE7667" w:rsidRPr="009F72BC">
                <w:rPr>
                  <w:rStyle w:val="Hyperlink"/>
                  <w:rFonts w:ascii="Verdana" w:hAnsi="Verdana"/>
                </w:rPr>
                <w:t>- Call Documentation Job Aid</w:t>
              </w:r>
            </w:hyperlink>
            <w:r w:rsidR="00121E7C" w:rsidRPr="000B6501">
              <w:rPr>
                <w:rFonts w:ascii="Verdana" w:hAnsi="Verdana"/>
                <w:color w:val="333333"/>
              </w:rPr>
              <w:t>.</w:t>
            </w:r>
          </w:p>
          <w:p w14:paraId="5FC3E877" w14:textId="77777777" w:rsidR="008C3C63" w:rsidRPr="000B6501" w:rsidRDefault="008C3C63" w:rsidP="008167F0">
            <w:pPr>
              <w:rPr>
                <w:rFonts w:ascii="Verdana" w:hAnsi="Verdana"/>
                <w:b/>
              </w:rPr>
            </w:pPr>
          </w:p>
          <w:p w14:paraId="79BA145D" w14:textId="77777777" w:rsidR="00850A78" w:rsidRPr="000B6501" w:rsidRDefault="00850A78" w:rsidP="008167F0">
            <w:pPr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Resolution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Time:</w:t>
            </w:r>
          </w:p>
          <w:p w14:paraId="72AC2CA4" w14:textId="3FD13B46" w:rsidR="00850A78" w:rsidRPr="000B6501" w:rsidRDefault="00850A78" w:rsidP="00474631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processing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Overrides</w:t>
            </w:r>
            <w:r w:rsidR="009F72BC">
              <w:rPr>
                <w:rFonts w:ascii="Verdana" w:hAnsi="Verdana"/>
              </w:rPr>
              <w:t>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52398F55" w14:textId="77777777" w:rsidR="00775782" w:rsidRPr="000B6501" w:rsidRDefault="00850A78" w:rsidP="00474631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Up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three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calendar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Determination.</w:t>
            </w:r>
          </w:p>
          <w:p w14:paraId="053C7E2F" w14:textId="77777777" w:rsidR="000B6501" w:rsidRPr="000B6501" w:rsidRDefault="000B6501" w:rsidP="000B6501">
            <w:pPr>
              <w:ind w:left="720"/>
              <w:rPr>
                <w:rFonts w:ascii="Verdana" w:hAnsi="Verdana"/>
              </w:rPr>
            </w:pPr>
          </w:p>
        </w:tc>
      </w:tr>
    </w:tbl>
    <w:p w14:paraId="25F5D32F" w14:textId="77777777" w:rsidR="00167D3F" w:rsidRPr="000B6501" w:rsidRDefault="00167D3F" w:rsidP="008167F0">
      <w:pPr>
        <w:jc w:val="right"/>
        <w:rPr>
          <w:rFonts w:ascii="Verdana" w:hAnsi="Verdana"/>
        </w:rPr>
      </w:pPr>
    </w:p>
    <w:p w14:paraId="62B36D0A" w14:textId="77777777" w:rsidR="00DD629C" w:rsidRPr="000B6501" w:rsidRDefault="00DD629C" w:rsidP="00DD629C">
      <w:pPr>
        <w:jc w:val="right"/>
        <w:rPr>
          <w:rFonts w:ascii="Verdana" w:hAnsi="Verdana"/>
        </w:rPr>
      </w:pPr>
      <w:hyperlink w:anchor="_top" w:history="1">
        <w:r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D629C" w:rsidRPr="008167F0" w14:paraId="5F5CBEA5" w14:textId="77777777" w:rsidTr="005D3828">
        <w:tc>
          <w:tcPr>
            <w:tcW w:w="5000" w:type="pct"/>
            <w:shd w:val="clear" w:color="auto" w:fill="C0C0C0"/>
          </w:tcPr>
          <w:p w14:paraId="186B16F7" w14:textId="77777777" w:rsidR="00DD629C" w:rsidRPr="00121E7C" w:rsidRDefault="00DD629C" w:rsidP="00DD629C">
            <w:pPr>
              <w:pStyle w:val="Heading2"/>
              <w:rPr>
                <w:rFonts w:ascii="Verdana" w:hAnsi="Verdana"/>
                <w:i w:val="0"/>
              </w:rPr>
            </w:pPr>
            <w:bookmarkStart w:id="25" w:name="_Toc149848632"/>
            <w:r w:rsidRPr="00121E7C">
              <w:rPr>
                <w:rFonts w:ascii="Verdana" w:hAnsi="Verdana"/>
                <w:i w:val="0"/>
              </w:rPr>
              <w:t>Transition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Fills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 w:rsidRPr="00121E7C">
              <w:rPr>
                <w:rFonts w:ascii="Verdana" w:hAnsi="Verdana"/>
                <w:i w:val="0"/>
              </w:rPr>
              <w:t>(</w:t>
            </w:r>
            <w:r>
              <w:rPr>
                <w:rFonts w:ascii="Verdana" w:hAnsi="Verdana"/>
                <w:i w:val="0"/>
              </w:rPr>
              <w:t>EGWP</w:t>
            </w:r>
            <w:r w:rsidRPr="00121E7C">
              <w:rPr>
                <w:rFonts w:ascii="Verdana" w:hAnsi="Verdana"/>
                <w:i w:val="0"/>
              </w:rPr>
              <w:t>)</w:t>
            </w:r>
            <w:bookmarkEnd w:id="25"/>
          </w:p>
        </w:tc>
      </w:tr>
    </w:tbl>
    <w:p w14:paraId="040AB3A2" w14:textId="6313F31F" w:rsidR="000C1301" w:rsidRPr="000B6501" w:rsidRDefault="00DD629C" w:rsidP="000C1301">
      <w:pPr>
        <w:autoSpaceDE w:val="0"/>
        <w:autoSpaceDN w:val="0"/>
        <w:rPr>
          <w:rFonts w:ascii="Verdana" w:hAnsi="Verdana" w:cs="Arial"/>
        </w:rPr>
      </w:pPr>
      <w:r w:rsidRPr="008167F0">
        <w:rPr>
          <w:rFonts w:ascii="Verdana" w:hAnsi="Verdana" w:cs="Arial"/>
        </w:rPr>
        <w:t>A</w:t>
      </w:r>
      <w:r w:rsidR="001701B1">
        <w:rPr>
          <w:rFonts w:ascii="Verdana" w:hAnsi="Verdana" w:cs="Arial"/>
        </w:rPr>
        <w:t xml:space="preserve"> </w:t>
      </w:r>
      <w:r w:rsidRPr="008167F0">
        <w:rPr>
          <w:rFonts w:ascii="Verdana" w:hAnsi="Verdana" w:cs="Arial"/>
        </w:rPr>
        <w:t>transi</w:t>
      </w:r>
      <w:r w:rsidRPr="000B6501">
        <w:rPr>
          <w:rFonts w:ascii="Verdana" w:hAnsi="Verdana" w:cs="Arial"/>
        </w:rPr>
        <w:t>tion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fill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EGWP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follow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same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process</w:t>
      </w:r>
      <w:r w:rsidR="001701B1" w:rsidRPr="000B6501">
        <w:rPr>
          <w:rFonts w:ascii="Verdana" w:hAnsi="Verdana" w:cs="Arial"/>
        </w:rPr>
        <w:t xml:space="preserve"> </w:t>
      </w:r>
      <w:r w:rsidR="00246B72" w:rsidRPr="000B6501">
        <w:rPr>
          <w:rFonts w:ascii="Verdana" w:hAnsi="Verdana" w:cs="Arial"/>
        </w:rPr>
        <w:t>as</w:t>
      </w:r>
      <w:r w:rsidR="001701B1" w:rsidRPr="000B6501">
        <w:rPr>
          <w:rFonts w:ascii="Verdana" w:hAnsi="Verdana" w:cs="Arial"/>
        </w:rPr>
        <w:t xml:space="preserve"> </w:t>
      </w:r>
      <w:r w:rsidR="00246B72" w:rsidRPr="000B6501">
        <w:rPr>
          <w:rFonts w:ascii="Verdana" w:hAnsi="Verdana" w:cs="Arial"/>
        </w:rPr>
        <w:t>outlined</w:t>
      </w:r>
      <w:r w:rsidR="001701B1" w:rsidRPr="000B6501">
        <w:rPr>
          <w:rFonts w:ascii="Verdana" w:hAnsi="Verdana" w:cs="Arial"/>
        </w:rPr>
        <w:t xml:space="preserve"> </w:t>
      </w:r>
      <w:r w:rsidR="00246B72" w:rsidRPr="000B6501">
        <w:rPr>
          <w:rFonts w:ascii="Verdana" w:hAnsi="Verdana" w:cs="Arial"/>
        </w:rPr>
        <w:t>in</w:t>
      </w:r>
      <w:r w:rsidR="001701B1" w:rsidRPr="000B6501">
        <w:rPr>
          <w:rFonts w:ascii="Verdana" w:hAnsi="Verdana" w:cs="Arial"/>
        </w:rPr>
        <w:t xml:space="preserve"> </w:t>
      </w:r>
      <w:r w:rsidR="00246B72" w:rsidRPr="000B6501">
        <w:rPr>
          <w:rFonts w:ascii="Verdana" w:hAnsi="Verdana" w:cs="Arial"/>
        </w:rPr>
        <w:t>this</w:t>
      </w:r>
      <w:r w:rsidR="001701B1" w:rsidRPr="000B6501">
        <w:rPr>
          <w:rFonts w:ascii="Verdana" w:hAnsi="Verdana" w:cs="Arial"/>
        </w:rPr>
        <w:t xml:space="preserve"> </w:t>
      </w:r>
      <w:r w:rsidR="00246B72" w:rsidRPr="000B6501">
        <w:rPr>
          <w:rFonts w:ascii="Verdana" w:hAnsi="Verdana" w:cs="Arial"/>
        </w:rPr>
        <w:t>document</w:t>
      </w:r>
      <w:r w:rsidR="001D732E" w:rsidRPr="000B6501">
        <w:rPr>
          <w:rFonts w:ascii="Verdana" w:hAnsi="Verdana" w:cs="Arial"/>
        </w:rPr>
        <w:t>.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However,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since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medication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can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be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covered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on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primary,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secondary,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neither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or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both,</w:t>
      </w:r>
      <w:r w:rsidR="001701B1" w:rsidRPr="000B6501">
        <w:rPr>
          <w:rFonts w:ascii="Verdana" w:hAnsi="Verdana" w:cs="Arial"/>
        </w:rPr>
        <w:t xml:space="preserve"> </w:t>
      </w:r>
      <w:r w:rsidR="00133ABA"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outcome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may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slightly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different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due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Single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Transaction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Coordination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benefits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(STCOB)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coverag</w:t>
      </w:r>
      <w:r w:rsidR="00133ABA" w:rsidRPr="000B6501">
        <w:rPr>
          <w:rFonts w:ascii="Verdana" w:hAnsi="Verdana" w:cs="Arial"/>
        </w:rPr>
        <w:t>e.</w:t>
      </w:r>
      <w:r w:rsidR="001701B1" w:rsidRPr="000B6501">
        <w:rPr>
          <w:rFonts w:ascii="Verdana" w:hAnsi="Verdana" w:cs="Arial"/>
        </w:rPr>
        <w:t xml:space="preserve"> </w:t>
      </w:r>
    </w:p>
    <w:p w14:paraId="299A12B6" w14:textId="77777777" w:rsidR="000C1301" w:rsidRPr="000B6501" w:rsidRDefault="000C1301" w:rsidP="000C1301">
      <w:pPr>
        <w:autoSpaceDE w:val="0"/>
        <w:autoSpaceDN w:val="0"/>
        <w:rPr>
          <w:rFonts w:ascii="Verdana" w:hAnsi="Verdana" w:cs="Arial"/>
        </w:rPr>
      </w:pPr>
    </w:p>
    <w:p w14:paraId="16CCA730" w14:textId="77777777" w:rsidR="000C1301" w:rsidRPr="000B6501" w:rsidRDefault="000C1301" w:rsidP="000C1301">
      <w:pPr>
        <w:autoSpaceDE w:val="0"/>
        <w:autoSpaceDN w:val="0"/>
        <w:rPr>
          <w:rFonts w:ascii="Verdana" w:hAnsi="Verdana" w:cs="Arial"/>
        </w:rPr>
      </w:pPr>
      <w:r w:rsidRPr="000B6501">
        <w:rPr>
          <w:rFonts w:ascii="Verdana" w:hAnsi="Verdana" w:cs="Arial"/>
        </w:rPr>
        <w:t>In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event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medication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  <w:b/>
        </w:rPr>
        <w:t>NOT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covered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under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but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covered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under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Pr="000B6501">
        <w:rPr>
          <w:rFonts w:ascii="Verdana" w:hAnsi="Verdana" w:cs="Arial"/>
        </w:rPr>
        <w:t>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medication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process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as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fill.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If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not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obtained,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reject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under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plan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subsequent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and</w:t>
      </w:r>
      <w:r w:rsidR="001701B1" w:rsidRPr="000B6501">
        <w:rPr>
          <w:rFonts w:ascii="Verdana" w:hAnsi="Verdana" w:cs="Arial"/>
        </w:rPr>
        <w:t xml:space="preserve"> </w:t>
      </w:r>
      <w:r w:rsidR="00D60854" w:rsidRPr="000B6501">
        <w:rPr>
          <w:rFonts w:ascii="Verdana" w:hAnsi="Verdana" w:cs="Arial"/>
        </w:rPr>
        <w:t>since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covered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under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Pr="000B6501">
        <w:rPr>
          <w:rFonts w:ascii="Verdana" w:hAnsi="Verdana" w:cs="Arial"/>
        </w:rPr>
        <w:t>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full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subsequen</w:t>
      </w:r>
      <w:r w:rsidR="00D60854" w:rsidRPr="000B6501">
        <w:rPr>
          <w:rFonts w:ascii="Verdana" w:hAnsi="Verdana" w:cs="Arial"/>
        </w:rPr>
        <w:t>t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fills.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/>
        </w:rPr>
        <w:t>Some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/>
        </w:rPr>
        <w:t>EGWP</w:t>
      </w:r>
      <w:r w:rsidR="001701B1" w:rsidRPr="000B6501">
        <w:rPr>
          <w:rFonts w:ascii="Verdana" w:hAnsi="Verdana"/>
        </w:rPr>
        <w:t xml:space="preserve"> </w:t>
      </w:r>
      <w:r w:rsidRPr="000B6501">
        <w:rPr>
          <w:rFonts w:ascii="Verdana" w:hAnsi="Verdana" w:cs="Arial"/>
        </w:rPr>
        <w:t>clients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allow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while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oth</w:t>
      </w:r>
      <w:r w:rsidR="001D732E" w:rsidRPr="000B6501">
        <w:rPr>
          <w:rFonts w:ascii="Verdana" w:hAnsi="Verdana" w:cs="Arial"/>
        </w:rPr>
        <w:t>er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allow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day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supply.</w:t>
      </w:r>
    </w:p>
    <w:p w14:paraId="44369276" w14:textId="77777777" w:rsidR="00DD629C" w:rsidRPr="000B6501" w:rsidRDefault="00DD629C" w:rsidP="00246B72">
      <w:pPr>
        <w:autoSpaceDE w:val="0"/>
        <w:autoSpaceDN w:val="0"/>
        <w:rPr>
          <w:rFonts w:ascii="Verdana" w:hAnsi="Verdana" w:cs="Arial"/>
        </w:rPr>
      </w:pPr>
    </w:p>
    <w:p w14:paraId="7C9D9147" w14:textId="77777777" w:rsidR="00133ABA" w:rsidRPr="000B6501" w:rsidRDefault="00133ABA" w:rsidP="00DD629C">
      <w:pPr>
        <w:rPr>
          <w:rFonts w:ascii="Verdana" w:hAnsi="Verdana" w:cs="Arial"/>
          <w:b/>
        </w:rPr>
      </w:pPr>
      <w:r w:rsidRPr="000B6501">
        <w:rPr>
          <w:rFonts w:ascii="Verdana" w:hAnsi="Verdana" w:cs="Arial"/>
          <w:b/>
        </w:rPr>
        <w:t>Examples:</w:t>
      </w:r>
    </w:p>
    <w:p w14:paraId="43DB5DE2" w14:textId="77777777" w:rsidR="00133ABA" w:rsidRPr="000B6501" w:rsidRDefault="00133ABA" w:rsidP="00474631">
      <w:pPr>
        <w:numPr>
          <w:ilvl w:val="0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Client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Allows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</w:t>
      </w:r>
    </w:p>
    <w:p w14:paraId="51AD8224" w14:textId="77777777" w:rsidR="00133ABA" w:rsidRPr="000B6501" w:rsidRDefault="00133ABA" w:rsidP="00474631">
      <w:pPr>
        <w:numPr>
          <w:ilvl w:val="1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First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orders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prescription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written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1D732E"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supply.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+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Pr="000B6501">
        <w:rPr>
          <w:rFonts w:ascii="Verdana" w:hAnsi="Verdana" w:cs="Arial"/>
        </w:rPr>
        <w:t>.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receive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4F140D" w:rsidRPr="000B6501">
        <w:rPr>
          <w:rFonts w:ascii="Verdana" w:hAnsi="Verdana" w:cs="Arial"/>
        </w:rPr>
        <w:t>30</w:t>
      </w:r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66B66" w:rsidRPr="000B6501">
        <w:rPr>
          <w:rFonts w:ascii="Verdana" w:hAnsi="Verdana" w:cs="Arial"/>
        </w:rPr>
        <w:t>supply.</w:t>
      </w:r>
    </w:p>
    <w:p w14:paraId="08666D28" w14:textId="77777777" w:rsidR="00133ABA" w:rsidRPr="000B6501" w:rsidRDefault="00133ABA" w:rsidP="00474631">
      <w:pPr>
        <w:numPr>
          <w:ilvl w:val="1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Second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submits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sa</w:t>
      </w:r>
      <w:r w:rsidR="001D732E" w:rsidRPr="000B6501">
        <w:rPr>
          <w:rFonts w:ascii="Verdana" w:hAnsi="Verdana" w:cs="Arial"/>
        </w:rPr>
        <w:t>me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1D732E"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supply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prescription.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reject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Drug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Not</w:t>
      </w:r>
      <w:r w:rsidR="001701B1" w:rsidRPr="000B6501">
        <w:rPr>
          <w:rFonts w:ascii="Verdana" w:hAnsi="Verdana" w:cs="Arial"/>
        </w:rPr>
        <w:t xml:space="preserve"> </w:t>
      </w:r>
      <w:r w:rsidR="00530695" w:rsidRPr="000B6501">
        <w:rPr>
          <w:rFonts w:ascii="Verdana" w:hAnsi="Verdana" w:cs="Arial"/>
        </w:rPr>
        <w:t>Covered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pass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="001D732E" w:rsidRPr="000B6501">
        <w:rPr>
          <w:rFonts w:ascii="Verdana" w:hAnsi="Verdana" w:cs="Arial"/>
        </w:rPr>
        <w:t>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pays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supply.</w:t>
      </w:r>
      <w:r w:rsidR="001701B1" w:rsidRPr="000B6501">
        <w:rPr>
          <w:rFonts w:ascii="Verdana" w:hAnsi="Verdana" w:cs="Arial"/>
        </w:rPr>
        <w:t xml:space="preserve"> </w:t>
      </w:r>
    </w:p>
    <w:p w14:paraId="5C765558" w14:textId="77777777" w:rsidR="00133ABA" w:rsidRPr="000B6501" w:rsidRDefault="00133ABA" w:rsidP="00474631">
      <w:pPr>
        <w:numPr>
          <w:ilvl w:val="0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Client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Allows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up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</w:t>
      </w:r>
    </w:p>
    <w:p w14:paraId="42B50B8D" w14:textId="77777777" w:rsidR="00133ABA" w:rsidRPr="000B6501" w:rsidRDefault="00133ABA" w:rsidP="00474631">
      <w:pPr>
        <w:numPr>
          <w:ilvl w:val="1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First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orders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prescri</w:t>
      </w:r>
      <w:r w:rsidR="001D732E" w:rsidRPr="000B6501">
        <w:rPr>
          <w:rFonts w:ascii="Verdana" w:hAnsi="Verdana" w:cs="Arial"/>
        </w:rPr>
        <w:t>ption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written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1D732E"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supply.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+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Pr="000B6501">
        <w:rPr>
          <w:rFonts w:ascii="Verdana" w:hAnsi="Verdana" w:cs="Arial"/>
        </w:rPr>
        <w:t>.</w:t>
      </w:r>
      <w:r w:rsidR="001701B1" w:rsidRPr="000B6501">
        <w:rPr>
          <w:rFonts w:ascii="Verdana" w:hAnsi="Verdana" w:cs="Arial"/>
        </w:rPr>
        <w:t xml:space="preserve"> </w:t>
      </w:r>
    </w:p>
    <w:p w14:paraId="3689005B" w14:textId="77777777" w:rsidR="00133ABA" w:rsidRPr="000B6501" w:rsidRDefault="00133ABA" w:rsidP="00474631">
      <w:pPr>
        <w:numPr>
          <w:ilvl w:val="1"/>
          <w:numId w:val="1"/>
        </w:numPr>
        <w:rPr>
          <w:rFonts w:ascii="Verdana" w:hAnsi="Verdana" w:cs="Arial"/>
        </w:rPr>
      </w:pPr>
      <w:r w:rsidRPr="000B6501">
        <w:rPr>
          <w:rFonts w:ascii="Verdana" w:hAnsi="Verdana" w:cs="Arial"/>
        </w:rPr>
        <w:t>Second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-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Beneficiary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submits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refill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sa</w:t>
      </w:r>
      <w:r w:rsidR="001D732E" w:rsidRPr="000B6501">
        <w:rPr>
          <w:rFonts w:ascii="Verdana" w:hAnsi="Verdana" w:cs="Arial"/>
        </w:rPr>
        <w:t>me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="001D732E"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supply</w:t>
      </w:r>
      <w:r w:rsidR="001701B1" w:rsidRPr="000B6501">
        <w:rPr>
          <w:rFonts w:ascii="Verdana" w:hAnsi="Verdana" w:cs="Arial"/>
        </w:rPr>
        <w:t xml:space="preserve"> </w:t>
      </w:r>
      <w:r w:rsidR="001D732E" w:rsidRPr="000B6501">
        <w:rPr>
          <w:rFonts w:ascii="Verdana" w:hAnsi="Verdana" w:cs="Arial"/>
        </w:rPr>
        <w:t>prescription.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primary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will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reject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and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pass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to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="001D732E" w:rsidRPr="000B6501">
        <w:rPr>
          <w:rFonts w:ascii="Verdana" w:hAnsi="Verdana" w:cs="Arial"/>
        </w:rPr>
        <w:t>.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The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Enhanced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Wrap</w:t>
      </w:r>
      <w:r w:rsidR="001701B1" w:rsidRPr="000B6501">
        <w:rPr>
          <w:rFonts w:ascii="Verdana" w:hAnsi="Verdana" w:cs="Arial"/>
        </w:rPr>
        <w:t xml:space="preserve"> </w:t>
      </w:r>
      <w:r w:rsidR="00172043" w:rsidRPr="000B6501">
        <w:rPr>
          <w:rFonts w:ascii="Verdana" w:hAnsi="Verdana" w:cs="Arial"/>
        </w:rPr>
        <w:t>Benefit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pays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proofErr w:type="gramStart"/>
      <w:r w:rsidRPr="000B6501">
        <w:rPr>
          <w:rFonts w:ascii="Verdana" w:hAnsi="Verdana" w:cs="Arial"/>
        </w:rPr>
        <w:t>90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day</w:t>
      </w:r>
      <w:proofErr w:type="gramEnd"/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supply.</w:t>
      </w:r>
      <w:r w:rsidR="001701B1" w:rsidRPr="000B6501">
        <w:rPr>
          <w:rFonts w:ascii="Verdana" w:hAnsi="Verdana" w:cs="Arial"/>
        </w:rPr>
        <w:t xml:space="preserve"> </w:t>
      </w:r>
    </w:p>
    <w:p w14:paraId="40DF7E9F" w14:textId="77777777" w:rsidR="00801AF7" w:rsidRPr="000B6501" w:rsidRDefault="00801AF7" w:rsidP="00801AF7">
      <w:pPr>
        <w:rPr>
          <w:rFonts w:ascii="Verdana" w:hAnsi="Verdana" w:cs="Arial"/>
        </w:rPr>
      </w:pPr>
    </w:p>
    <w:p w14:paraId="59097240" w14:textId="77777777" w:rsidR="00801AF7" w:rsidRPr="000B6501" w:rsidRDefault="00801AF7" w:rsidP="00801AF7">
      <w:pPr>
        <w:rPr>
          <w:rFonts w:ascii="Verdana" w:hAnsi="Verdana" w:cs="Arial"/>
        </w:rPr>
      </w:pPr>
      <w:r w:rsidRPr="000B6501">
        <w:rPr>
          <w:rFonts w:ascii="Verdana" w:hAnsi="Verdana" w:cs="Arial"/>
          <w:b/>
        </w:rPr>
        <w:t>Note:</w:t>
      </w:r>
      <w:r w:rsidR="001701B1" w:rsidRPr="000B6501">
        <w:rPr>
          <w:rFonts w:ascii="Verdana" w:hAnsi="Verdana" w:cs="Arial"/>
          <w:b/>
        </w:rPr>
        <w:t xml:space="preserve">  </w:t>
      </w:r>
      <w:r w:rsidRPr="000B6501">
        <w:rPr>
          <w:rFonts w:ascii="Verdana" w:hAnsi="Verdana" w:cs="Arial"/>
        </w:rPr>
        <w:t>Mail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Order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prescriptions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processed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with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transition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though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written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90-day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supply,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can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  <w:b/>
        </w:rPr>
        <w:t>ONLY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be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filled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for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a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30-day</w:t>
      </w:r>
      <w:r w:rsidR="001701B1" w:rsidRPr="000B6501">
        <w:rPr>
          <w:rFonts w:ascii="Verdana" w:hAnsi="Verdana" w:cs="Arial"/>
        </w:rPr>
        <w:t xml:space="preserve"> </w:t>
      </w:r>
      <w:r w:rsidRPr="000B6501">
        <w:rPr>
          <w:rFonts w:ascii="Verdana" w:hAnsi="Verdana" w:cs="Arial"/>
        </w:rPr>
        <w:t>supply.</w:t>
      </w:r>
    </w:p>
    <w:p w14:paraId="5A70EEF2" w14:textId="77777777" w:rsidR="00133ABA" w:rsidRPr="000B6501" w:rsidRDefault="00133ABA" w:rsidP="00DD629C">
      <w:pPr>
        <w:rPr>
          <w:rFonts w:ascii="Verdana" w:hAnsi="Verdana"/>
        </w:rPr>
      </w:pPr>
    </w:p>
    <w:bookmarkStart w:id="26" w:name="OLE_LINK41"/>
    <w:p w14:paraId="398B90C2" w14:textId="77777777" w:rsidR="0063381C" w:rsidRPr="000B6501" w:rsidRDefault="00DE3B2B" w:rsidP="008167F0">
      <w:pPr>
        <w:ind w:left="360"/>
        <w:jc w:val="right"/>
        <w:rPr>
          <w:rFonts w:ascii="Verdana" w:hAnsi="Verdana"/>
        </w:rPr>
      </w:pPr>
      <w:r w:rsidRPr="000B6501">
        <w:rPr>
          <w:rFonts w:ascii="Verdana" w:hAnsi="Verdana"/>
        </w:rPr>
        <w:fldChar w:fldCharType="begin"/>
      </w:r>
      <w:r w:rsidR="00C5736F" w:rsidRPr="000B6501">
        <w:rPr>
          <w:rFonts w:ascii="Verdana" w:hAnsi="Verdana"/>
        </w:rPr>
        <w:instrText>HYPERLINK  \l "_top"</w:instrText>
      </w:r>
      <w:r w:rsidRPr="000B6501">
        <w:rPr>
          <w:rFonts w:ascii="Verdana" w:hAnsi="Verdana"/>
        </w:rPr>
      </w:r>
      <w:r w:rsidRPr="000B6501">
        <w:rPr>
          <w:rFonts w:ascii="Verdana" w:hAnsi="Verdana"/>
        </w:rPr>
        <w:fldChar w:fldCharType="separate"/>
      </w:r>
      <w:r w:rsidR="00196DE7" w:rsidRPr="000B6501">
        <w:rPr>
          <w:rStyle w:val="Hyperlink"/>
          <w:rFonts w:ascii="Verdana" w:hAnsi="Verdana"/>
        </w:rPr>
        <w:t>Top</w:t>
      </w:r>
      <w:r w:rsidR="001701B1" w:rsidRPr="000B6501">
        <w:rPr>
          <w:rStyle w:val="Hyperlink"/>
          <w:rFonts w:ascii="Verdana" w:hAnsi="Verdana"/>
        </w:rPr>
        <w:t xml:space="preserve"> </w:t>
      </w:r>
      <w:r w:rsidR="00196DE7" w:rsidRPr="000B6501">
        <w:rPr>
          <w:rStyle w:val="Hyperlink"/>
          <w:rFonts w:ascii="Verdana" w:hAnsi="Verdana"/>
        </w:rPr>
        <w:t>of</w:t>
      </w:r>
      <w:r w:rsidR="001701B1" w:rsidRPr="000B6501">
        <w:rPr>
          <w:rStyle w:val="Hyperlink"/>
          <w:rFonts w:ascii="Verdana" w:hAnsi="Verdana"/>
        </w:rPr>
        <w:t xml:space="preserve"> </w:t>
      </w:r>
      <w:r w:rsidR="00196DE7" w:rsidRPr="000B6501">
        <w:rPr>
          <w:rStyle w:val="Hyperlink"/>
          <w:rFonts w:ascii="Verdana" w:hAnsi="Verdana"/>
        </w:rPr>
        <w:t>the</w:t>
      </w:r>
      <w:r w:rsidR="001701B1" w:rsidRPr="000B6501">
        <w:rPr>
          <w:rStyle w:val="Hyperlink"/>
          <w:rFonts w:ascii="Verdana" w:hAnsi="Verdana"/>
        </w:rPr>
        <w:t xml:space="preserve"> </w:t>
      </w:r>
      <w:r w:rsidR="00196DE7" w:rsidRPr="000B6501">
        <w:rPr>
          <w:rStyle w:val="Hyperlink"/>
          <w:rFonts w:ascii="Verdana" w:hAnsi="Verdana"/>
        </w:rPr>
        <w:t>Document</w:t>
      </w:r>
      <w:r w:rsidRPr="000B6501"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3381C" w:rsidRPr="008167F0" w14:paraId="577F80C8" w14:textId="77777777" w:rsidTr="00BA1367">
        <w:tc>
          <w:tcPr>
            <w:tcW w:w="5000" w:type="pct"/>
            <w:shd w:val="clear" w:color="auto" w:fill="C0C0C0"/>
          </w:tcPr>
          <w:p w14:paraId="3A3D29F5" w14:textId="28234CBF" w:rsidR="0063381C" w:rsidRPr="00BA1367" w:rsidRDefault="00BA1367" w:rsidP="00121E7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7" w:name="_Transition_Fill_Coding"/>
            <w:bookmarkStart w:id="28" w:name="_Toc149848633"/>
            <w:bookmarkEnd w:id="27"/>
            <w:r w:rsidRPr="00BA1367">
              <w:rPr>
                <w:rFonts w:ascii="Verdana" w:hAnsi="Verdana"/>
                <w:i w:val="0"/>
                <w:iCs w:val="0"/>
              </w:rPr>
              <w:t xml:space="preserve">Transition Fill Coding on the Medicare Part </w:t>
            </w:r>
            <w:r w:rsidR="00F66991">
              <w:rPr>
                <w:rFonts w:ascii="Verdana" w:hAnsi="Verdana"/>
                <w:i w:val="0"/>
                <w:iCs w:val="0"/>
              </w:rPr>
              <w:t>T</w:t>
            </w:r>
            <w:r w:rsidRPr="00BA1367">
              <w:rPr>
                <w:rFonts w:ascii="Verdana" w:hAnsi="Verdana"/>
                <w:i w:val="0"/>
                <w:iCs w:val="0"/>
              </w:rPr>
              <w:t xml:space="preserve">ab </w:t>
            </w:r>
            <w:r w:rsidR="006854B6">
              <w:rPr>
                <w:rFonts w:ascii="Verdana" w:hAnsi="Verdana"/>
                <w:i w:val="0"/>
                <w:iCs w:val="0"/>
              </w:rPr>
              <w:t>W</w:t>
            </w:r>
            <w:r w:rsidRPr="00BA1367">
              <w:rPr>
                <w:rFonts w:ascii="Verdana" w:hAnsi="Verdana"/>
                <w:i w:val="0"/>
                <w:iCs w:val="0"/>
              </w:rPr>
              <w:t>ithin Claim Details</w:t>
            </w:r>
            <w:bookmarkEnd w:id="28"/>
          </w:p>
        </w:tc>
      </w:tr>
    </w:tbl>
    <w:bookmarkEnd w:id="26"/>
    <w:p w14:paraId="517C5E42" w14:textId="679696D1" w:rsidR="0063381C" w:rsidRPr="000B6501" w:rsidRDefault="0063381C" w:rsidP="008167F0">
      <w:pPr>
        <w:rPr>
          <w:rFonts w:ascii="Verdana" w:hAnsi="Verdana" w:cs="Microsoft Sans Serif"/>
        </w:rPr>
      </w:pPr>
      <w:r w:rsidRPr="000B6501">
        <w:rPr>
          <w:rFonts w:ascii="Verdana" w:hAnsi="Verdana" w:cs="Microsoft Sans Serif"/>
        </w:rPr>
        <w:t>On</w:t>
      </w:r>
      <w:r w:rsidR="001701B1" w:rsidRPr="000B6501">
        <w:rPr>
          <w:rFonts w:ascii="Verdana" w:hAnsi="Verdana" w:cs="Microsoft Sans Serif"/>
        </w:rPr>
        <w:t xml:space="preserve"> </w:t>
      </w:r>
      <w:r w:rsidR="00D32DBC" w:rsidRPr="000B6501">
        <w:rPr>
          <w:rFonts w:ascii="Verdana" w:hAnsi="Verdana" w:cs="Microsoft Sans Serif"/>
        </w:rPr>
        <w:t>the</w:t>
      </w:r>
      <w:r w:rsidR="001701B1" w:rsidRPr="000B6501">
        <w:rPr>
          <w:rFonts w:ascii="Verdana" w:hAnsi="Verdana" w:cs="Microsoft Sans Serif"/>
        </w:rPr>
        <w:t xml:space="preserve"> </w:t>
      </w:r>
      <w:r w:rsidR="00BA1367">
        <w:rPr>
          <w:rFonts w:ascii="Verdana" w:hAnsi="Verdana" w:cs="Microsoft Sans Serif"/>
          <w:b/>
        </w:rPr>
        <w:t>Claim Details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screen,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the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CCR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will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find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a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Medicare</w:t>
      </w:r>
      <w:r w:rsidR="001701B1" w:rsidRPr="000B6501">
        <w:rPr>
          <w:rFonts w:ascii="Verdana" w:hAnsi="Verdana" w:cs="Microsoft Sans Serif"/>
        </w:rPr>
        <w:t xml:space="preserve"> </w:t>
      </w:r>
      <w:r w:rsidR="00BA1367">
        <w:rPr>
          <w:rFonts w:ascii="Verdana" w:hAnsi="Verdana" w:cs="Microsoft Sans Serif"/>
        </w:rPr>
        <w:t xml:space="preserve">Part </w:t>
      </w:r>
      <w:r w:rsidRPr="000B6501">
        <w:rPr>
          <w:rFonts w:ascii="Verdana" w:hAnsi="Verdana" w:cs="Microsoft Sans Serif"/>
        </w:rPr>
        <w:t>D</w:t>
      </w:r>
      <w:r w:rsidR="00BA1367">
        <w:rPr>
          <w:rFonts w:ascii="Verdana" w:hAnsi="Verdana" w:cs="Microsoft Sans Serif"/>
        </w:rPr>
        <w:t xml:space="preserve"> tab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regarding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Transition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Fill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for</w:t>
      </w:r>
      <w:r w:rsidR="001701B1" w:rsidRPr="000B6501">
        <w:rPr>
          <w:rFonts w:ascii="Verdana" w:hAnsi="Verdana" w:cs="Microsoft Sans Serif"/>
        </w:rPr>
        <w:t xml:space="preserve"> </w:t>
      </w:r>
      <w:r w:rsidRPr="000B6501">
        <w:rPr>
          <w:rFonts w:ascii="Verdana" w:hAnsi="Verdana" w:cs="Microsoft Sans Serif"/>
        </w:rPr>
        <w:t>both</w:t>
      </w:r>
      <w:r w:rsidR="001701B1" w:rsidRPr="000B6501">
        <w:rPr>
          <w:rFonts w:ascii="Verdana" w:hAnsi="Verdana" w:cs="Microsoft Sans Serif"/>
        </w:rPr>
        <w:t xml:space="preserve"> </w:t>
      </w:r>
      <w:r w:rsidRPr="006563AA">
        <w:rPr>
          <w:rFonts w:ascii="Verdana" w:hAnsi="Verdana" w:cs="Microsoft Sans Serif"/>
        </w:rPr>
        <w:t>Mail</w:t>
      </w:r>
      <w:r w:rsidR="001701B1" w:rsidRPr="006563AA">
        <w:rPr>
          <w:rFonts w:ascii="Verdana" w:hAnsi="Verdana" w:cs="Microsoft Sans Serif"/>
        </w:rPr>
        <w:t xml:space="preserve"> </w:t>
      </w:r>
      <w:r w:rsidRPr="006563AA">
        <w:rPr>
          <w:rFonts w:ascii="Verdana" w:hAnsi="Verdana" w:cs="Microsoft Sans Serif"/>
        </w:rPr>
        <w:t>and</w:t>
      </w:r>
      <w:r w:rsidR="001701B1" w:rsidRPr="006563AA">
        <w:rPr>
          <w:rFonts w:ascii="Verdana" w:hAnsi="Verdana" w:cs="Microsoft Sans Serif"/>
        </w:rPr>
        <w:t xml:space="preserve"> </w:t>
      </w:r>
      <w:r w:rsidRPr="006563AA">
        <w:rPr>
          <w:rFonts w:ascii="Verdana" w:hAnsi="Verdana" w:cs="Microsoft Sans Serif"/>
        </w:rPr>
        <w:t>Retail</w:t>
      </w:r>
      <w:r w:rsidR="001701B1" w:rsidRPr="006563AA">
        <w:rPr>
          <w:rFonts w:ascii="Verdana" w:hAnsi="Verdana" w:cs="Microsoft Sans Serif"/>
        </w:rPr>
        <w:t xml:space="preserve"> </w:t>
      </w:r>
      <w:r w:rsidRPr="006563AA">
        <w:rPr>
          <w:rFonts w:ascii="Verdana" w:hAnsi="Verdana" w:cs="Microsoft Sans Serif"/>
        </w:rPr>
        <w:t>claims.</w:t>
      </w:r>
    </w:p>
    <w:p w14:paraId="2B38EF82" w14:textId="77777777" w:rsidR="00BC358D" w:rsidRPr="000B6501" w:rsidRDefault="00BC358D" w:rsidP="00BC358D">
      <w:pPr>
        <w:pStyle w:val="ListParagraph"/>
        <w:ind w:left="0"/>
        <w:rPr>
          <w:rFonts w:ascii="Verdana" w:hAnsi="Verdana" w:cs="Microsoft Sans Serif"/>
        </w:rPr>
      </w:pPr>
    </w:p>
    <w:p w14:paraId="4249066C" w14:textId="5CFFF5EA" w:rsidR="0063381C" w:rsidRPr="000B6501" w:rsidRDefault="00BA1367">
      <w:pPr>
        <w:pStyle w:val="ListParagraph"/>
        <w:numPr>
          <w:ilvl w:val="0"/>
          <w:numId w:val="54"/>
        </w:numPr>
        <w:rPr>
          <w:rFonts w:ascii="Verdana" w:hAnsi="Verdana" w:cs="Microsoft Sans Serif"/>
        </w:rPr>
      </w:pPr>
      <w:r>
        <w:rPr>
          <w:rFonts w:ascii="Verdana" w:hAnsi="Verdana" w:cs="Microsoft Sans Serif"/>
        </w:rPr>
        <w:t xml:space="preserve">Click the </w:t>
      </w:r>
      <w:r w:rsidRPr="00BA1367">
        <w:rPr>
          <w:rFonts w:ascii="Verdana" w:hAnsi="Verdana" w:cs="Microsoft Sans Serif"/>
          <w:b/>
          <w:bCs/>
        </w:rPr>
        <w:t>Medicare Part D</w:t>
      </w:r>
      <w:r>
        <w:rPr>
          <w:rFonts w:ascii="Verdana" w:hAnsi="Verdana" w:cs="Microsoft Sans Serif"/>
        </w:rPr>
        <w:t xml:space="preserve"> tab.</w:t>
      </w:r>
      <w:r w:rsidR="001701B1" w:rsidRPr="000B6501">
        <w:rPr>
          <w:rFonts w:ascii="Verdana" w:hAnsi="Verdana" w:cs="Microsoft Sans Serif"/>
          <w:b/>
        </w:rPr>
        <w:t xml:space="preserve"> </w:t>
      </w:r>
    </w:p>
    <w:p w14:paraId="06883FEB" w14:textId="77777777" w:rsidR="005F1425" w:rsidRDefault="005F1425" w:rsidP="005F1425">
      <w:pPr>
        <w:rPr>
          <w:rFonts w:ascii="Verdana" w:hAnsi="Verdana"/>
        </w:rPr>
      </w:pPr>
    </w:p>
    <w:p w14:paraId="3408D651" w14:textId="77777777" w:rsidR="005F1425" w:rsidRDefault="005C5683" w:rsidP="005F1425">
      <w:p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Housed within the</w:t>
      </w:r>
      <w:r w:rsidR="005F1425">
        <w:rPr>
          <w:rFonts w:ascii="Verdana" w:hAnsi="Verdana" w:cs="Microsoft Sans Serif"/>
          <w:bCs/>
        </w:rPr>
        <w:t xml:space="preserve"> </w:t>
      </w:r>
      <w:r w:rsidR="005F1425">
        <w:rPr>
          <w:rFonts w:ascii="Verdana" w:hAnsi="Verdana" w:cs="Microsoft Sans Serif"/>
          <w:b/>
          <w:bCs/>
        </w:rPr>
        <w:t xml:space="preserve">Medicare Part D </w:t>
      </w:r>
      <w:r>
        <w:rPr>
          <w:rFonts w:ascii="Verdana" w:hAnsi="Verdana" w:cs="Microsoft Sans Serif"/>
          <w:bCs/>
        </w:rPr>
        <w:t xml:space="preserve">tab, the following </w:t>
      </w:r>
      <w:r w:rsidR="005F1425">
        <w:rPr>
          <w:rFonts w:ascii="Verdana" w:hAnsi="Verdana" w:cs="Microsoft Sans Serif"/>
          <w:bCs/>
        </w:rPr>
        <w:t>sections</w:t>
      </w:r>
      <w:r>
        <w:rPr>
          <w:rFonts w:ascii="Verdana" w:hAnsi="Verdana" w:cs="Microsoft Sans Serif"/>
          <w:bCs/>
        </w:rPr>
        <w:t xml:space="preserve"> </w:t>
      </w:r>
      <w:r w:rsidR="00AC3F90">
        <w:rPr>
          <w:rFonts w:ascii="Verdana" w:hAnsi="Verdana" w:cs="Microsoft Sans Serif"/>
          <w:bCs/>
        </w:rPr>
        <w:t>include</w:t>
      </w:r>
      <w:r w:rsidR="005F1425">
        <w:rPr>
          <w:rFonts w:ascii="Verdana" w:hAnsi="Verdana" w:cs="Microsoft Sans Serif"/>
          <w:bCs/>
        </w:rPr>
        <w:t>:</w:t>
      </w:r>
    </w:p>
    <w:p w14:paraId="5212A0E4" w14:textId="77777777" w:rsidR="005F1425" w:rsidRDefault="005F1425" w:rsidP="005F1425">
      <w:pPr>
        <w:rPr>
          <w:rFonts w:ascii="Verdana" w:hAnsi="Verdana" w:cs="Microsoft Sans Serif"/>
          <w:bCs/>
        </w:rPr>
      </w:pPr>
    </w:p>
    <w:p w14:paraId="2FB31EE6" w14:textId="77777777" w:rsidR="005F1425" w:rsidRPr="005F1425" w:rsidRDefault="005F1425">
      <w:pPr>
        <w:numPr>
          <w:ilvl w:val="0"/>
          <w:numId w:val="54"/>
        </w:numPr>
        <w:rPr>
          <w:rFonts w:ascii="Verdana" w:hAnsi="Verdana" w:cs="Microsoft Sans Serif"/>
          <w:bCs/>
        </w:rPr>
      </w:pPr>
      <w:bookmarkStart w:id="29" w:name="OLE_LINK53"/>
      <w:r w:rsidRPr="005F1425">
        <w:rPr>
          <w:rFonts w:ascii="Verdana" w:hAnsi="Verdana" w:cs="Microsoft Sans Serif"/>
          <w:b/>
        </w:rPr>
        <w:t>Transition Fill</w:t>
      </w:r>
      <w:r>
        <w:rPr>
          <w:rFonts w:ascii="Verdana" w:hAnsi="Verdana" w:cs="Microsoft Sans Serif"/>
          <w:bCs/>
        </w:rPr>
        <w:t xml:space="preserve"> </w:t>
      </w:r>
      <w:r w:rsidR="00AC3F90">
        <w:rPr>
          <w:rFonts w:ascii="Verdana" w:hAnsi="Verdana" w:cs="Microsoft Sans Serif"/>
          <w:bCs/>
        </w:rPr>
        <w:t xml:space="preserve">section </w:t>
      </w:r>
      <w:r>
        <w:rPr>
          <w:rFonts w:ascii="Verdana" w:hAnsi="Verdana" w:cs="Microsoft Sans Serif"/>
          <w:bCs/>
        </w:rPr>
        <w:t>include</w:t>
      </w:r>
      <w:bookmarkEnd w:id="29"/>
      <w:r>
        <w:rPr>
          <w:rFonts w:ascii="Verdana" w:hAnsi="Verdana" w:cs="Microsoft Sans Serif"/>
          <w:bCs/>
        </w:rPr>
        <w:t xml:space="preserve">:  </w:t>
      </w:r>
    </w:p>
    <w:p w14:paraId="05B52FC1" w14:textId="77777777" w:rsidR="005F1425" w:rsidRDefault="005F1425">
      <w:pPr>
        <w:numPr>
          <w:ilvl w:val="0"/>
          <w:numId w:val="55"/>
        </w:numPr>
        <w:rPr>
          <w:rFonts w:ascii="Verdana" w:hAnsi="Verdana" w:cs="Microsoft Sans Serif"/>
        </w:rPr>
      </w:pPr>
      <w:r>
        <w:rPr>
          <w:rFonts w:ascii="Verdana" w:hAnsi="Verdana" w:cs="Microsoft Sans Serif"/>
        </w:rPr>
        <w:t>Claim Type</w:t>
      </w:r>
    </w:p>
    <w:p w14:paraId="12F5BC8F" w14:textId="3AB5EE39" w:rsidR="005F1425" w:rsidRDefault="005F1425">
      <w:pPr>
        <w:numPr>
          <w:ilvl w:val="0"/>
          <w:numId w:val="55"/>
        </w:numPr>
        <w:rPr>
          <w:rFonts w:ascii="Verdana" w:hAnsi="Verdana" w:cs="Microsoft Sans Serif"/>
        </w:rPr>
      </w:pPr>
      <w:r>
        <w:rPr>
          <w:rFonts w:ascii="Verdana" w:hAnsi="Verdana" w:cs="Microsoft Sans Serif"/>
        </w:rPr>
        <w:t xml:space="preserve">Eligibility </w:t>
      </w:r>
      <w:r w:rsidR="00F9696B">
        <w:rPr>
          <w:rFonts w:ascii="Verdana" w:hAnsi="Verdana" w:cs="Microsoft Sans Serif"/>
        </w:rPr>
        <w:t>Effective</w:t>
      </w:r>
      <w:r>
        <w:rPr>
          <w:rFonts w:ascii="Verdana" w:hAnsi="Verdana" w:cs="Microsoft Sans Serif"/>
        </w:rPr>
        <w:t xml:space="preserve"> Date</w:t>
      </w:r>
    </w:p>
    <w:p w14:paraId="784F6B53" w14:textId="7080C21E" w:rsidR="005F1425" w:rsidRDefault="005F1425">
      <w:pPr>
        <w:numPr>
          <w:ilvl w:val="0"/>
          <w:numId w:val="55"/>
        </w:numPr>
        <w:rPr>
          <w:rFonts w:ascii="Verdana" w:hAnsi="Verdana" w:cs="Microsoft Sans Serif"/>
        </w:rPr>
      </w:pPr>
      <w:r>
        <w:rPr>
          <w:rFonts w:ascii="Verdana" w:hAnsi="Verdana" w:cs="Microsoft Sans Serif"/>
        </w:rPr>
        <w:t xml:space="preserve">Eligibility </w:t>
      </w:r>
      <w:r w:rsidR="00F9696B">
        <w:rPr>
          <w:rFonts w:ascii="Verdana" w:hAnsi="Verdana" w:cs="Microsoft Sans Serif"/>
        </w:rPr>
        <w:t>Expiration</w:t>
      </w:r>
      <w:r>
        <w:rPr>
          <w:rFonts w:ascii="Verdana" w:hAnsi="Verdana" w:cs="Microsoft Sans Serif"/>
        </w:rPr>
        <w:t xml:space="preserve"> Date</w:t>
      </w:r>
    </w:p>
    <w:p w14:paraId="19D543E5" w14:textId="77777777" w:rsidR="005F1425" w:rsidRDefault="005F1425">
      <w:pPr>
        <w:numPr>
          <w:ilvl w:val="0"/>
          <w:numId w:val="55"/>
        </w:numPr>
        <w:rPr>
          <w:rFonts w:ascii="Verdana" w:hAnsi="Verdana" w:cs="Microsoft Sans Serif"/>
        </w:rPr>
      </w:pPr>
      <w:r>
        <w:rPr>
          <w:rFonts w:ascii="Verdana" w:hAnsi="Verdana" w:cs="Microsoft Sans Serif"/>
        </w:rPr>
        <w:t>Letters Sent Date</w:t>
      </w:r>
    </w:p>
    <w:p w14:paraId="259A5BAB" w14:textId="77777777" w:rsidR="005F1425" w:rsidRDefault="005F1425">
      <w:pPr>
        <w:numPr>
          <w:ilvl w:val="0"/>
          <w:numId w:val="55"/>
        </w:numPr>
        <w:rPr>
          <w:rFonts w:ascii="Verdana" w:hAnsi="Verdana" w:cs="Microsoft Sans Serif"/>
          <w:b/>
          <w:bCs/>
        </w:rPr>
      </w:pPr>
      <w:r>
        <w:rPr>
          <w:rFonts w:ascii="Verdana" w:hAnsi="Verdana" w:cs="Microsoft Sans Serif"/>
        </w:rPr>
        <w:t>Letter Template Type</w:t>
      </w:r>
    </w:p>
    <w:p w14:paraId="2DBB80CB" w14:textId="77777777" w:rsidR="005F1425" w:rsidRPr="005149AA" w:rsidRDefault="005F1425">
      <w:pPr>
        <w:numPr>
          <w:ilvl w:val="0"/>
          <w:numId w:val="55"/>
        </w:numPr>
        <w:rPr>
          <w:rFonts w:ascii="Verdana" w:hAnsi="Verdana" w:cs="Microsoft Sans Serif"/>
          <w:b/>
          <w:bCs/>
        </w:rPr>
      </w:pPr>
      <w:r>
        <w:rPr>
          <w:rFonts w:ascii="Verdana" w:hAnsi="Verdana" w:cs="Microsoft Sans Serif"/>
        </w:rPr>
        <w:t>Combo Edit</w:t>
      </w:r>
    </w:p>
    <w:p w14:paraId="0D48C524" w14:textId="77777777" w:rsidR="005149AA" w:rsidRPr="005149AA" w:rsidRDefault="005149AA" w:rsidP="005149AA">
      <w:pPr>
        <w:ind w:left="1440"/>
        <w:rPr>
          <w:rFonts w:ascii="Verdana" w:hAnsi="Verdana" w:cs="Microsoft Sans Serif"/>
          <w:b/>
          <w:bCs/>
        </w:rPr>
      </w:pPr>
    </w:p>
    <w:p w14:paraId="3BBF9DF1" w14:textId="77777777" w:rsidR="005149AA" w:rsidRPr="005F1425" w:rsidRDefault="005149AA">
      <w:pPr>
        <w:numPr>
          <w:ilvl w:val="0"/>
          <w:numId w:val="54"/>
        </w:numPr>
        <w:rPr>
          <w:rFonts w:ascii="Verdana" w:hAnsi="Verdana" w:cs="Microsoft Sans Serif"/>
          <w:b/>
          <w:bCs/>
        </w:rPr>
      </w:pPr>
      <w:r>
        <w:rPr>
          <w:rFonts w:ascii="Verdana" w:hAnsi="Verdana" w:cs="Microsoft Sans Serif"/>
          <w:b/>
          <w:bCs/>
        </w:rPr>
        <w:t xml:space="preserve">Long Term Care </w:t>
      </w:r>
      <w:r w:rsidR="00AC3F90" w:rsidRPr="00AC3F90">
        <w:rPr>
          <w:rFonts w:ascii="Verdana" w:hAnsi="Verdana" w:cs="Microsoft Sans Serif"/>
        </w:rPr>
        <w:t>section</w:t>
      </w:r>
      <w:r w:rsidR="00AC3F90">
        <w:rPr>
          <w:rFonts w:ascii="Verdana" w:hAnsi="Verdana" w:cs="Microsoft Sans Serif"/>
          <w:b/>
          <w:bCs/>
        </w:rPr>
        <w:t xml:space="preserve"> </w:t>
      </w:r>
      <w:r>
        <w:rPr>
          <w:rFonts w:ascii="Verdana" w:hAnsi="Verdana" w:cs="Microsoft Sans Serif"/>
          <w:b/>
          <w:bCs/>
        </w:rPr>
        <w:t>include:</w:t>
      </w:r>
    </w:p>
    <w:p w14:paraId="411AF24E" w14:textId="77777777" w:rsidR="005F1425" w:rsidRPr="005F1425" w:rsidRDefault="005F1425">
      <w:pPr>
        <w:numPr>
          <w:ilvl w:val="0"/>
          <w:numId w:val="55"/>
        </w:numPr>
        <w:rPr>
          <w:rFonts w:ascii="Verdana" w:hAnsi="Verdana" w:cs="Microsoft Sans Serif"/>
          <w:b/>
          <w:bCs/>
        </w:rPr>
      </w:pPr>
      <w:r>
        <w:rPr>
          <w:rFonts w:ascii="Verdana" w:hAnsi="Verdana" w:cs="Microsoft Sans Serif"/>
        </w:rPr>
        <w:t>Shorten Day Supply</w:t>
      </w:r>
    </w:p>
    <w:p w14:paraId="41CE6650" w14:textId="77777777" w:rsidR="005F1425" w:rsidRPr="005F1425" w:rsidRDefault="005F1425">
      <w:pPr>
        <w:numPr>
          <w:ilvl w:val="0"/>
          <w:numId w:val="55"/>
        </w:numPr>
        <w:rPr>
          <w:rFonts w:ascii="Verdana" w:hAnsi="Verdana" w:cs="Microsoft Sans Serif"/>
          <w:b/>
          <w:bCs/>
        </w:rPr>
      </w:pPr>
      <w:r>
        <w:rPr>
          <w:rFonts w:ascii="Verdana" w:hAnsi="Verdana" w:cs="Microsoft Sans Serif"/>
        </w:rPr>
        <w:t>Short Cycle Pricing</w:t>
      </w:r>
    </w:p>
    <w:p w14:paraId="2637EBF2" w14:textId="77777777" w:rsidR="005F1425" w:rsidRPr="00B729F6" w:rsidRDefault="005F1425" w:rsidP="005F1425">
      <w:pPr>
        <w:numPr>
          <w:ilvl w:val="0"/>
          <w:numId w:val="55"/>
        </w:numPr>
        <w:rPr>
          <w:rFonts w:ascii="Verdana" w:hAnsi="Verdana" w:cs="Microsoft Sans Serif"/>
          <w:b/>
          <w:bCs/>
        </w:rPr>
      </w:pPr>
      <w:r>
        <w:rPr>
          <w:rFonts w:ascii="Verdana" w:hAnsi="Verdana" w:cs="Microsoft Sans Serif"/>
        </w:rPr>
        <w:t>Override Used</w:t>
      </w:r>
    </w:p>
    <w:p w14:paraId="7A161ECB" w14:textId="77777777" w:rsidR="009F72BC" w:rsidRDefault="009F72BC" w:rsidP="008167F0">
      <w:pPr>
        <w:ind w:left="360"/>
        <w:jc w:val="center"/>
        <w:rPr>
          <w:rFonts w:ascii="Verdana" w:hAnsi="Verdana"/>
          <w:noProof/>
        </w:rPr>
      </w:pPr>
    </w:p>
    <w:p w14:paraId="4A63776F" w14:textId="6B531B90" w:rsidR="0063381C" w:rsidRPr="000B6501" w:rsidRDefault="00C20F93" w:rsidP="008167F0">
      <w:pPr>
        <w:ind w:left="360"/>
        <w:jc w:val="center"/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619824A7" wp14:editId="6C00874A">
            <wp:extent cx="9123045" cy="3636645"/>
            <wp:effectExtent l="19050" t="19050" r="1905" b="1905"/>
            <wp:docPr id="16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045" cy="36366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52BCCC" w14:textId="2011A5D3" w:rsidR="005F1425" w:rsidRPr="005F1425" w:rsidRDefault="005F1425" w:rsidP="005F1425">
      <w:pPr>
        <w:ind w:left="1080"/>
        <w:rPr>
          <w:rFonts w:ascii="Verdana" w:hAnsi="Verdana" w:cs="Microsoft Sans Serif"/>
          <w:b/>
          <w:bCs/>
        </w:rPr>
      </w:pPr>
    </w:p>
    <w:p w14:paraId="2E2194BC" w14:textId="77777777" w:rsidR="005F1425" w:rsidRDefault="005F1425">
      <w:pPr>
        <w:numPr>
          <w:ilvl w:val="0"/>
          <w:numId w:val="44"/>
        </w:numPr>
        <w:rPr>
          <w:rFonts w:ascii="Verdana" w:hAnsi="Verdana" w:cs="Microsoft Sans Serif"/>
          <w:bCs/>
        </w:rPr>
      </w:pPr>
      <w:r w:rsidRPr="005F1425">
        <w:rPr>
          <w:rFonts w:ascii="Verdana" w:hAnsi="Verdana" w:cs="Microsoft Sans Serif"/>
          <w:b/>
        </w:rPr>
        <w:t>Additional Information</w:t>
      </w:r>
      <w:r w:rsidR="00AC3F90">
        <w:rPr>
          <w:rFonts w:ascii="Verdana" w:hAnsi="Verdana" w:cs="Microsoft Sans Serif"/>
          <w:b/>
        </w:rPr>
        <w:t xml:space="preserve"> </w:t>
      </w:r>
      <w:r w:rsidR="00AC3F90" w:rsidRPr="00AC3F90">
        <w:rPr>
          <w:rFonts w:ascii="Verdana" w:hAnsi="Verdana" w:cs="Microsoft Sans Serif"/>
          <w:bCs/>
        </w:rPr>
        <w:t>section</w:t>
      </w:r>
      <w:r>
        <w:rPr>
          <w:rFonts w:ascii="Verdana" w:hAnsi="Verdana" w:cs="Microsoft Sans Serif"/>
          <w:bCs/>
        </w:rPr>
        <w:t xml:space="preserve"> include:</w:t>
      </w:r>
    </w:p>
    <w:p w14:paraId="5953B3BB" w14:textId="77777777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EGWP Wrap Plan Paid</w:t>
      </w:r>
    </w:p>
    <w:p w14:paraId="7B22F90D" w14:textId="3C30499B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 xml:space="preserve">CMS </w:t>
      </w:r>
      <w:r w:rsidR="00A10473">
        <w:rPr>
          <w:rFonts w:ascii="Verdana" w:hAnsi="Verdana" w:cs="Microsoft Sans Serif"/>
          <w:bCs/>
        </w:rPr>
        <w:t xml:space="preserve">Cost </w:t>
      </w:r>
      <w:r>
        <w:rPr>
          <w:rFonts w:ascii="Verdana" w:hAnsi="Verdana" w:cs="Microsoft Sans Serif"/>
          <w:bCs/>
        </w:rPr>
        <w:t>Share Applied</w:t>
      </w:r>
    </w:p>
    <w:p w14:paraId="07B96C0D" w14:textId="77777777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Gap Discount Applied</w:t>
      </w:r>
    </w:p>
    <w:p w14:paraId="6F72D9CE" w14:textId="77777777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Gap Statute Coinsurance</w:t>
      </w:r>
    </w:p>
    <w:p w14:paraId="241A9EB0" w14:textId="77777777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Status Code</w:t>
      </w:r>
    </w:p>
    <w:p w14:paraId="2C467A50" w14:textId="77777777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Member Level Code</w:t>
      </w:r>
    </w:p>
    <w:p w14:paraId="26CF27A1" w14:textId="77777777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Exception Override</w:t>
      </w:r>
    </w:p>
    <w:p w14:paraId="743019C9" w14:textId="77777777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Drug Application Type</w:t>
      </w:r>
    </w:p>
    <w:p w14:paraId="745A2D1A" w14:textId="72B852C6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Invalid Provider Status</w:t>
      </w:r>
    </w:p>
    <w:p w14:paraId="42812CAA" w14:textId="77777777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Protected Class Drug List</w:t>
      </w:r>
    </w:p>
    <w:p w14:paraId="709B5716" w14:textId="77777777" w:rsidR="005F1425" w:rsidRDefault="005F1425">
      <w:pPr>
        <w:numPr>
          <w:ilvl w:val="0"/>
          <w:numId w:val="56"/>
        </w:numPr>
        <w:rPr>
          <w:rFonts w:ascii="Verdana" w:hAnsi="Verdana" w:cs="Microsoft Sans Serif"/>
          <w:bCs/>
        </w:rPr>
      </w:pPr>
      <w:r>
        <w:rPr>
          <w:rFonts w:ascii="Verdana" w:hAnsi="Verdana" w:cs="Microsoft Sans Serif"/>
          <w:bCs/>
        </w:rPr>
        <w:t>Provisional Supply Tag</w:t>
      </w:r>
    </w:p>
    <w:p w14:paraId="5D325E38" w14:textId="77777777" w:rsidR="0063381C" w:rsidRPr="000B6501" w:rsidRDefault="0063381C" w:rsidP="00BA56B7">
      <w:pPr>
        <w:rPr>
          <w:rFonts w:ascii="Verdana" w:hAnsi="Verdana" w:cs="Microsoft Sans Serif"/>
          <w:b/>
          <w:bCs/>
        </w:rPr>
      </w:pPr>
    </w:p>
    <w:p w14:paraId="7055659B" w14:textId="77777777" w:rsidR="0063381C" w:rsidRPr="000B6501" w:rsidRDefault="009852D6" w:rsidP="008167F0">
      <w:pPr>
        <w:ind w:left="360"/>
        <w:rPr>
          <w:rFonts w:ascii="Verdana" w:hAnsi="Verdana" w:cs="Microsoft Sans Serif"/>
          <w:bCs/>
        </w:rPr>
      </w:pPr>
      <w:r w:rsidRPr="006563AA">
        <w:rPr>
          <w:rFonts w:ascii="Verdana" w:hAnsi="Verdana" w:cs="Microsoft Sans Serif"/>
          <w:b/>
          <w:bCs/>
        </w:rPr>
        <w:t>Note</w:t>
      </w:r>
      <w:r w:rsidR="0063381C" w:rsidRPr="006563AA">
        <w:rPr>
          <w:rFonts w:ascii="Verdana" w:hAnsi="Verdana" w:cs="Microsoft Sans Serif"/>
          <w:b/>
          <w:bCs/>
        </w:rPr>
        <w:t>:</w:t>
      </w:r>
      <w:r w:rsidR="001701B1" w:rsidRPr="006563AA">
        <w:rPr>
          <w:rFonts w:ascii="Verdana" w:hAnsi="Verdana" w:cs="Microsoft Sans Serif"/>
          <w:b/>
          <w:bCs/>
        </w:rPr>
        <w:t xml:space="preserve">  </w:t>
      </w:r>
      <w:r w:rsidR="0063381C" w:rsidRPr="006563AA">
        <w:rPr>
          <w:rFonts w:ascii="Verdana" w:hAnsi="Verdana" w:cs="Microsoft Sans Serif"/>
          <w:bCs/>
        </w:rPr>
        <w:t>This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information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is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in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reference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to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/>
          <w:bCs/>
        </w:rPr>
        <w:t>SYSTEM</w:t>
      </w:r>
      <w:r w:rsidR="00D32DBC" w:rsidRPr="006563AA">
        <w:rPr>
          <w:rFonts w:ascii="Verdana" w:hAnsi="Verdana" w:cs="Microsoft Sans Serif"/>
          <w:b/>
          <w:bCs/>
        </w:rPr>
        <w:t>-</w:t>
      </w:r>
      <w:r w:rsidR="0063381C" w:rsidRPr="006563AA">
        <w:rPr>
          <w:rFonts w:ascii="Verdana" w:hAnsi="Verdana" w:cs="Microsoft Sans Serif"/>
          <w:bCs/>
        </w:rPr>
        <w:t>generated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Transition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Fills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and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do</w:t>
      </w:r>
      <w:r w:rsidR="00D32DBC" w:rsidRPr="006563AA">
        <w:rPr>
          <w:rFonts w:ascii="Verdana" w:hAnsi="Verdana" w:cs="Microsoft Sans Serif"/>
          <w:bCs/>
        </w:rPr>
        <w:t>es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/>
          <w:bCs/>
        </w:rPr>
        <w:t>NOT</w:t>
      </w:r>
      <w:r w:rsidR="001701B1" w:rsidRPr="006563AA">
        <w:rPr>
          <w:rFonts w:ascii="Verdana" w:hAnsi="Verdana" w:cs="Microsoft Sans Serif"/>
          <w:b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apply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to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Level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of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Care</w:t>
      </w:r>
      <w:r w:rsidR="001701B1" w:rsidRPr="006563AA">
        <w:rPr>
          <w:rFonts w:ascii="Verdana" w:hAnsi="Verdana" w:cs="Microsoft Sans Serif"/>
          <w:bCs/>
        </w:rPr>
        <w:t xml:space="preserve"> </w:t>
      </w:r>
      <w:r w:rsidR="0063381C" w:rsidRPr="006563AA">
        <w:rPr>
          <w:rFonts w:ascii="Verdana" w:hAnsi="Verdana" w:cs="Microsoft Sans Serif"/>
          <w:bCs/>
        </w:rPr>
        <w:t>changes.</w:t>
      </w:r>
    </w:p>
    <w:p w14:paraId="4386BC3E" w14:textId="77777777" w:rsidR="0063381C" w:rsidRPr="000B6501" w:rsidRDefault="0063381C" w:rsidP="00C519CE">
      <w:pPr>
        <w:ind w:left="360"/>
        <w:jc w:val="center"/>
        <w:rPr>
          <w:rFonts w:ascii="Verdana" w:hAnsi="Verdana"/>
          <w:noProof/>
        </w:rPr>
      </w:pPr>
    </w:p>
    <w:p w14:paraId="22F067F9" w14:textId="77777777" w:rsidR="0063381C" w:rsidRPr="000B6501" w:rsidRDefault="0063381C" w:rsidP="008167F0">
      <w:pPr>
        <w:rPr>
          <w:rFonts w:ascii="Verdana" w:hAnsi="Verdana" w:cs="Microsoft Sans Serif"/>
          <w:bCs/>
        </w:rPr>
      </w:pPr>
      <w:r w:rsidRPr="000B6501">
        <w:rPr>
          <w:rFonts w:ascii="Verdana" w:hAnsi="Verdana" w:cs="Microsoft Sans Serif"/>
          <w:bCs/>
        </w:rPr>
        <w:t>The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values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found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in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this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table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can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be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found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in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these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new</w:t>
      </w:r>
      <w:r w:rsidR="001701B1" w:rsidRPr="000B6501">
        <w:rPr>
          <w:rFonts w:ascii="Verdana" w:hAnsi="Verdana" w:cs="Microsoft Sans Serif"/>
          <w:bCs/>
        </w:rPr>
        <w:t xml:space="preserve"> </w:t>
      </w:r>
      <w:r w:rsidRPr="000B6501">
        <w:rPr>
          <w:rFonts w:ascii="Verdana" w:hAnsi="Verdana" w:cs="Microsoft Sans Serif"/>
          <w:bCs/>
        </w:rPr>
        <w:t>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4"/>
        <w:gridCol w:w="9956"/>
      </w:tblGrid>
      <w:tr w:rsidR="00BA56B7" w:rsidRPr="000B6501" w14:paraId="05BE0EFB" w14:textId="77777777">
        <w:tc>
          <w:tcPr>
            <w:tcW w:w="1156" w:type="pct"/>
            <w:shd w:val="clear" w:color="auto" w:fill="F2F2F2"/>
          </w:tcPr>
          <w:p w14:paraId="6A71A225" w14:textId="719F6F6C" w:rsidR="00BA56B7" w:rsidRPr="00BA56B7" w:rsidRDefault="00BA56B7" w:rsidP="00BA56B7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56B7">
              <w:rPr>
                <w:rFonts w:ascii="Verdana" w:hAnsi="Verdana" w:cs="Arial"/>
                <w:b/>
                <w:bCs/>
              </w:rPr>
              <w:t>Field</w:t>
            </w:r>
          </w:p>
        </w:tc>
        <w:tc>
          <w:tcPr>
            <w:tcW w:w="3844" w:type="pct"/>
            <w:shd w:val="clear" w:color="auto" w:fill="F2F2F2"/>
            <w:vAlign w:val="bottom"/>
          </w:tcPr>
          <w:p w14:paraId="24665B02" w14:textId="13024ED8" w:rsidR="00BA56B7" w:rsidRPr="00BA56B7" w:rsidRDefault="00BA56B7" w:rsidP="00BA56B7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BA56B7">
              <w:rPr>
                <w:rFonts w:ascii="Verdana" w:hAnsi="Verdana" w:cs="Arial"/>
                <w:b/>
                <w:bCs/>
              </w:rPr>
              <w:t>Description</w:t>
            </w:r>
          </w:p>
        </w:tc>
      </w:tr>
      <w:tr w:rsidR="0063381C" w:rsidRPr="000B6501" w14:paraId="2D9E27E3" w14:textId="77777777" w:rsidTr="006563AA">
        <w:tc>
          <w:tcPr>
            <w:tcW w:w="1156" w:type="pct"/>
          </w:tcPr>
          <w:p w14:paraId="7BD17FF0" w14:textId="1F0C0552" w:rsidR="0063381C" w:rsidRPr="000B6501" w:rsidRDefault="0063381C" w:rsidP="006563AA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Eligibility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519CE">
              <w:rPr>
                <w:rFonts w:ascii="Verdana" w:hAnsi="Verdana" w:cs="Arial"/>
              </w:rPr>
              <w:t>Effective</w:t>
            </w:r>
            <w:r w:rsidR="00C519CE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Date</w:t>
            </w:r>
          </w:p>
        </w:tc>
        <w:tc>
          <w:tcPr>
            <w:tcW w:w="3844" w:type="pct"/>
            <w:vAlign w:val="bottom"/>
          </w:tcPr>
          <w:p w14:paraId="2F261B24" w14:textId="216662EE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Date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Eligibility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Start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519CE">
              <w:rPr>
                <w:rFonts w:ascii="Verdana" w:hAnsi="Verdana" w:cs="Arial"/>
              </w:rPr>
              <w:t>mm-dd-</w:t>
            </w:r>
            <w:proofErr w:type="spellStart"/>
            <w:r w:rsidR="00C519CE">
              <w:rPr>
                <w:rFonts w:ascii="Verdana" w:hAnsi="Verdana" w:cs="Arial"/>
              </w:rPr>
              <w:t>yy</w:t>
            </w:r>
            <w:proofErr w:type="spellEnd"/>
          </w:p>
          <w:p w14:paraId="63EBFEC8" w14:textId="77777777" w:rsidR="009C5785" w:rsidRPr="000B6501" w:rsidRDefault="009C5785" w:rsidP="009C5785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>CCR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Process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Pr="000B6501">
              <w:rPr>
                <w:rFonts w:ascii="Verdana" w:hAnsi="Verdana" w:cs="Arial"/>
                <w:b/>
              </w:rPr>
              <w:t>Note:</w:t>
            </w:r>
            <w:r w:rsidR="001701B1" w:rsidRPr="000B6501">
              <w:rPr>
                <w:rFonts w:ascii="Verdana" w:hAnsi="Verdana" w:cs="Arial"/>
                <w:b/>
              </w:rPr>
              <w:t xml:space="preserve">  </w:t>
            </w:r>
            <w:r w:rsidRPr="000B6501">
              <w:rPr>
                <w:rFonts w:ascii="Verdana" w:hAnsi="Verdana" w:cs="Arial"/>
              </w:rPr>
              <w:t>If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required,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based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beneficiary’s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Eligibility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Start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date,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CCR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807A9" w:rsidRPr="000B6501">
              <w:rPr>
                <w:rFonts w:ascii="Verdana" w:hAnsi="Verdana" w:cs="Arial"/>
              </w:rPr>
              <w:t>transfer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807A9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807A9" w:rsidRPr="000B6501">
              <w:rPr>
                <w:rFonts w:ascii="Verdana" w:hAnsi="Verdana" w:cs="Arial"/>
              </w:rPr>
              <w:t>call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807A9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807A9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Senior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team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correction.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Senior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Team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will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take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over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call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assist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beneficiary.</w:t>
            </w:r>
          </w:p>
          <w:p w14:paraId="6F9A1C2A" w14:textId="77777777" w:rsidR="009C5785" w:rsidRPr="000B6501" w:rsidRDefault="009C5785" w:rsidP="009C5785">
            <w:pPr>
              <w:rPr>
                <w:rFonts w:ascii="Verdana" w:hAnsi="Verdana" w:cs="Arial"/>
              </w:rPr>
            </w:pPr>
          </w:p>
          <w:p w14:paraId="06376B7A" w14:textId="09B9C2DE" w:rsidR="00071EB3" w:rsidRPr="000B6501" w:rsidRDefault="00641AC4" w:rsidP="009C5785">
            <w:pPr>
              <w:rPr>
                <w:rFonts w:ascii="Verdana" w:hAnsi="Verdana" w:cs="Verdana"/>
              </w:rPr>
            </w:pPr>
            <w:r w:rsidRPr="000B6501">
              <w:rPr>
                <w:rFonts w:ascii="Verdana" w:hAnsi="Verdana" w:cs="Verdana"/>
              </w:rPr>
              <w:t>Refer</w:t>
            </w:r>
            <w:r w:rsidR="001701B1" w:rsidRPr="000B6501">
              <w:rPr>
                <w:rFonts w:ascii="Verdana" w:hAnsi="Verdana" w:cs="Verdana"/>
              </w:rPr>
              <w:t xml:space="preserve"> </w:t>
            </w:r>
            <w:r w:rsidRPr="000B6501">
              <w:rPr>
                <w:rFonts w:ascii="Verdana" w:hAnsi="Verdana" w:cs="Verdana"/>
              </w:rPr>
              <w:t>to</w:t>
            </w:r>
            <w:r w:rsidR="001701B1" w:rsidRPr="000B6501">
              <w:rPr>
                <w:rFonts w:ascii="Verdana" w:hAnsi="Verdana" w:cs="Verdana"/>
              </w:rPr>
              <w:t xml:space="preserve"> </w:t>
            </w:r>
            <w:hyperlink r:id="rId38" w:history="1"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MED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D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-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When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to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Transfer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Calls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to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the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Senior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5350F2" w:rsidRPr="000B6501">
                <w:rPr>
                  <w:rFonts w:ascii="Verdana" w:hAnsi="Verdana" w:cs="Verdana"/>
                  <w:color w:val="0000FF"/>
                  <w:u w:val="single"/>
                </w:rPr>
                <w:t>Team</w:t>
              </w:r>
            </w:hyperlink>
            <w:r w:rsidR="001701B1" w:rsidRPr="000B6501">
              <w:rPr>
                <w:rFonts w:ascii="Verdana" w:hAnsi="Verdana" w:cs="Verdana"/>
              </w:rPr>
              <w:t xml:space="preserve"> </w:t>
            </w:r>
            <w:r w:rsidR="009C5785" w:rsidRPr="000B6501">
              <w:rPr>
                <w:rFonts w:ascii="Verdana" w:hAnsi="Verdana" w:cs="Verdana"/>
              </w:rPr>
              <w:t>and</w:t>
            </w:r>
            <w:r w:rsidR="001701B1" w:rsidRPr="000B6501">
              <w:rPr>
                <w:rFonts w:ascii="Verdana" w:hAnsi="Verdana" w:cs="Verdana"/>
              </w:rPr>
              <w:t xml:space="preserve"> </w:t>
            </w:r>
            <w:hyperlink r:id="rId39" w:history="1">
              <w:r w:rsidR="009C5785" w:rsidRPr="000B6501">
                <w:rPr>
                  <w:rFonts w:ascii="Verdana" w:hAnsi="Verdana" w:cs="Verdana"/>
                  <w:color w:val="0000FF"/>
                  <w:u w:val="single"/>
                </w:rPr>
                <w:t>Basic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9C5785" w:rsidRPr="000B6501">
                <w:rPr>
                  <w:rFonts w:ascii="Verdana" w:hAnsi="Verdana" w:cs="Verdana"/>
                  <w:color w:val="0000FF"/>
                  <w:u w:val="single"/>
                </w:rPr>
                <w:t>Call</w:t>
              </w:r>
              <w:r w:rsidR="001701B1" w:rsidRPr="000B6501">
                <w:rPr>
                  <w:rFonts w:ascii="Verdana" w:hAnsi="Verdana" w:cs="Verdana"/>
                  <w:color w:val="0000FF"/>
                  <w:u w:val="single"/>
                </w:rPr>
                <w:t xml:space="preserve"> </w:t>
              </w:r>
              <w:r w:rsidR="009C5785" w:rsidRPr="000B6501">
                <w:rPr>
                  <w:rFonts w:ascii="Verdana" w:hAnsi="Verdana" w:cs="Verdana"/>
                  <w:color w:val="0000FF"/>
                  <w:u w:val="single"/>
                </w:rPr>
                <w:t>Handling</w:t>
              </w:r>
            </w:hyperlink>
            <w:r w:rsidR="009C5785" w:rsidRPr="000B6501">
              <w:rPr>
                <w:rFonts w:ascii="Verdana" w:hAnsi="Verdana" w:cs="Verdana"/>
              </w:rPr>
              <w:t>.</w:t>
            </w:r>
          </w:p>
          <w:p w14:paraId="1722D04F" w14:textId="77777777" w:rsidR="000B6501" w:rsidRPr="000B6501" w:rsidRDefault="000B6501" w:rsidP="009C5785">
            <w:pPr>
              <w:rPr>
                <w:rFonts w:ascii="Verdana" w:hAnsi="Verdana" w:cs="Arial"/>
              </w:rPr>
            </w:pPr>
          </w:p>
        </w:tc>
      </w:tr>
      <w:tr w:rsidR="0063381C" w:rsidRPr="000B6501" w14:paraId="4C09BCF6" w14:textId="77777777" w:rsidTr="006563AA">
        <w:tc>
          <w:tcPr>
            <w:tcW w:w="1156" w:type="pct"/>
          </w:tcPr>
          <w:p w14:paraId="276D0A5B" w14:textId="36F1D4BA" w:rsidR="0063381C" w:rsidRPr="000B6501" w:rsidRDefault="0063381C" w:rsidP="006563AA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Eligibility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519CE">
              <w:rPr>
                <w:rFonts w:ascii="Verdana" w:hAnsi="Verdana" w:cs="Arial"/>
              </w:rPr>
              <w:t>Expiration</w:t>
            </w:r>
            <w:r w:rsidR="00C519CE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End</w:t>
            </w:r>
          </w:p>
        </w:tc>
        <w:tc>
          <w:tcPr>
            <w:tcW w:w="3844" w:type="pct"/>
            <w:vAlign w:val="bottom"/>
          </w:tcPr>
          <w:p w14:paraId="1D330533" w14:textId="767AB0F8" w:rsidR="0063381C" w:rsidRPr="000B6501" w:rsidRDefault="0063381C" w:rsidP="00077F42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Date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A10473">
              <w:rPr>
                <w:rFonts w:ascii="Verdana" w:hAnsi="Verdana" w:cs="Arial"/>
              </w:rPr>
              <w:t>Transition Fill (</w:t>
            </w:r>
            <w:r w:rsidRPr="000B6501">
              <w:rPr>
                <w:rFonts w:ascii="Verdana" w:hAnsi="Verdana" w:cs="Arial"/>
              </w:rPr>
              <w:t>TF</w:t>
            </w:r>
            <w:r w:rsidR="00A10473">
              <w:rPr>
                <w:rFonts w:ascii="Verdana" w:hAnsi="Verdana" w:cs="Arial"/>
              </w:rPr>
              <w:t>)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Eligibility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Ends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519CE">
              <w:rPr>
                <w:rFonts w:ascii="Verdana" w:hAnsi="Verdana" w:cs="Arial"/>
              </w:rPr>
              <w:t>mm-dd-</w:t>
            </w:r>
            <w:proofErr w:type="spellStart"/>
            <w:r w:rsidR="00C519CE">
              <w:rPr>
                <w:rFonts w:ascii="Verdana" w:hAnsi="Verdana" w:cs="Arial"/>
              </w:rPr>
              <w:t>yy</w:t>
            </w:r>
            <w:proofErr w:type="spellEnd"/>
          </w:p>
          <w:p w14:paraId="495B3B96" w14:textId="77777777" w:rsidR="000B6501" w:rsidRPr="000B6501" w:rsidRDefault="000B6501" w:rsidP="00077F42">
            <w:pPr>
              <w:rPr>
                <w:rFonts w:ascii="Verdana" w:hAnsi="Verdana" w:cs="Arial"/>
              </w:rPr>
            </w:pPr>
          </w:p>
        </w:tc>
      </w:tr>
      <w:tr w:rsidR="0063381C" w:rsidRPr="000B6501" w14:paraId="55B0D306" w14:textId="77777777" w:rsidTr="006563AA">
        <w:tc>
          <w:tcPr>
            <w:tcW w:w="1156" w:type="pct"/>
            <w:vMerge w:val="restart"/>
          </w:tcPr>
          <w:p w14:paraId="2CA3108C" w14:textId="709BF4FD" w:rsidR="0063381C" w:rsidRPr="000B6501" w:rsidRDefault="0063381C" w:rsidP="006563AA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Claim</w:t>
            </w:r>
            <w:r w:rsidR="00860F60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Type</w:t>
            </w:r>
          </w:p>
        </w:tc>
        <w:tc>
          <w:tcPr>
            <w:tcW w:w="3844" w:type="pct"/>
            <w:vAlign w:val="bottom"/>
          </w:tcPr>
          <w:p w14:paraId="06BE82E9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Transition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Fill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Type.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Current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Values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gramStart"/>
            <w:r w:rsidRPr="000B6501">
              <w:rPr>
                <w:rFonts w:ascii="Verdana" w:hAnsi="Verdana" w:cs="Arial"/>
              </w:rPr>
              <w:t>listed,</w:t>
            </w:r>
            <w:proofErr w:type="gramEnd"/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however,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value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should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accepted:</w:t>
            </w:r>
          </w:p>
        </w:tc>
      </w:tr>
      <w:tr w:rsidR="0063381C" w:rsidRPr="000B6501" w14:paraId="60C15E7E" w14:textId="77777777" w:rsidTr="009C5785">
        <w:tc>
          <w:tcPr>
            <w:tcW w:w="1156" w:type="pct"/>
            <w:vMerge/>
            <w:vAlign w:val="center"/>
          </w:tcPr>
          <w:p w14:paraId="7B9C77B9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3CA9FFA6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PA)</w:t>
            </w:r>
          </w:p>
        </w:tc>
      </w:tr>
      <w:tr w:rsidR="0063381C" w:rsidRPr="000B6501" w14:paraId="0795990D" w14:textId="77777777" w:rsidTr="009C5785">
        <w:tc>
          <w:tcPr>
            <w:tcW w:w="1156" w:type="pct"/>
            <w:vMerge/>
            <w:vAlign w:val="center"/>
          </w:tcPr>
          <w:p w14:paraId="7552E3C8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07F971F6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B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Step/QVT)</w:t>
            </w:r>
          </w:p>
        </w:tc>
      </w:tr>
      <w:tr w:rsidR="0063381C" w:rsidRPr="000B6501" w14:paraId="455E03D8" w14:textId="77777777" w:rsidTr="009C5785">
        <w:tc>
          <w:tcPr>
            <w:tcW w:w="1156" w:type="pct"/>
            <w:vMerge/>
            <w:vAlign w:val="center"/>
          </w:tcPr>
          <w:p w14:paraId="111D416C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2A637A77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C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Step/DD)</w:t>
            </w:r>
          </w:p>
        </w:tc>
      </w:tr>
      <w:tr w:rsidR="0063381C" w:rsidRPr="000B6501" w14:paraId="55B6E874" w14:textId="77777777" w:rsidTr="009C5785">
        <w:tc>
          <w:tcPr>
            <w:tcW w:w="1156" w:type="pct"/>
            <w:vMerge/>
            <w:vAlign w:val="center"/>
          </w:tcPr>
          <w:p w14:paraId="42C63C6D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4A08FBF6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Daily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Dose)</w:t>
            </w:r>
          </w:p>
        </w:tc>
      </w:tr>
      <w:tr w:rsidR="0063381C" w:rsidRPr="000B6501" w14:paraId="033988B9" w14:textId="77777777" w:rsidTr="009C5785">
        <w:tc>
          <w:tcPr>
            <w:tcW w:w="1156" w:type="pct"/>
            <w:vMerge/>
            <w:vAlign w:val="center"/>
          </w:tcPr>
          <w:p w14:paraId="65008D0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612FD635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PA/QVT)</w:t>
            </w:r>
          </w:p>
        </w:tc>
      </w:tr>
      <w:tr w:rsidR="0063381C" w:rsidRPr="000B6501" w14:paraId="67B22F0E" w14:textId="77777777" w:rsidTr="009C5785">
        <w:tc>
          <w:tcPr>
            <w:tcW w:w="1156" w:type="pct"/>
            <w:vMerge/>
            <w:vAlign w:val="center"/>
          </w:tcPr>
          <w:p w14:paraId="513ED009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71BFD744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PA/DD)</w:t>
            </w:r>
          </w:p>
        </w:tc>
      </w:tr>
      <w:tr w:rsidR="0063381C" w:rsidRPr="000B6501" w14:paraId="7EF62CD8" w14:textId="77777777" w:rsidTr="009C5785">
        <w:tc>
          <w:tcPr>
            <w:tcW w:w="1156" w:type="pct"/>
            <w:vMerge/>
            <w:vAlign w:val="center"/>
          </w:tcPr>
          <w:p w14:paraId="39C426E5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3514EDDE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NF/DD)</w:t>
            </w:r>
          </w:p>
        </w:tc>
      </w:tr>
      <w:tr w:rsidR="0063381C" w:rsidRPr="000B6501" w14:paraId="70087C3F" w14:textId="77777777" w:rsidTr="009C5785">
        <w:tc>
          <w:tcPr>
            <w:tcW w:w="1156" w:type="pct"/>
            <w:vMerge/>
            <w:vAlign w:val="center"/>
          </w:tcPr>
          <w:p w14:paraId="45235A72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7851AA8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NF/QVT)</w:t>
            </w:r>
          </w:p>
        </w:tc>
      </w:tr>
      <w:tr w:rsidR="0063381C" w:rsidRPr="000B6501" w14:paraId="25F2212C" w14:textId="77777777" w:rsidTr="009C5785">
        <w:tc>
          <w:tcPr>
            <w:tcW w:w="1156" w:type="pct"/>
            <w:vMerge/>
            <w:vAlign w:val="center"/>
          </w:tcPr>
          <w:p w14:paraId="10937081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034FC2D5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I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QVT/DD)</w:t>
            </w:r>
          </w:p>
        </w:tc>
      </w:tr>
      <w:tr w:rsidR="0063381C" w:rsidRPr="000B6501" w14:paraId="695D0EAE" w14:textId="77777777" w:rsidTr="009C5785">
        <w:tc>
          <w:tcPr>
            <w:tcW w:w="1156" w:type="pct"/>
            <w:vMerge/>
            <w:vAlign w:val="center"/>
          </w:tcPr>
          <w:p w14:paraId="54EF6CE0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0030C0B2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J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PA/NF)</w:t>
            </w:r>
          </w:p>
        </w:tc>
      </w:tr>
      <w:tr w:rsidR="0063381C" w:rsidRPr="000B6501" w14:paraId="5579E43A" w14:textId="77777777" w:rsidTr="009C5785">
        <w:tc>
          <w:tcPr>
            <w:tcW w:w="1156" w:type="pct"/>
            <w:vMerge/>
            <w:vAlign w:val="center"/>
          </w:tcPr>
          <w:p w14:paraId="320914E3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21730B01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K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Step/QVT)</w:t>
            </w:r>
          </w:p>
        </w:tc>
      </w:tr>
      <w:tr w:rsidR="0063381C" w:rsidRPr="000B6501" w14:paraId="757B0E9E" w14:textId="77777777" w:rsidTr="009C5785">
        <w:tc>
          <w:tcPr>
            <w:tcW w:w="1156" w:type="pct"/>
            <w:vMerge/>
            <w:vAlign w:val="center"/>
          </w:tcPr>
          <w:p w14:paraId="40356E1F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5CCE6810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Daily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Dose)</w:t>
            </w:r>
          </w:p>
        </w:tc>
      </w:tr>
      <w:tr w:rsidR="0063381C" w:rsidRPr="000B6501" w14:paraId="14EFDC98" w14:textId="77777777" w:rsidTr="009C5785">
        <w:tc>
          <w:tcPr>
            <w:tcW w:w="1156" w:type="pct"/>
            <w:vMerge/>
            <w:vAlign w:val="center"/>
          </w:tcPr>
          <w:p w14:paraId="0CECB751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704151E6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M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Step/DD)</w:t>
            </w:r>
          </w:p>
        </w:tc>
      </w:tr>
      <w:tr w:rsidR="0063381C" w:rsidRPr="000B6501" w14:paraId="4288F112" w14:textId="77777777" w:rsidTr="009C5785">
        <w:tc>
          <w:tcPr>
            <w:tcW w:w="1156" w:type="pct"/>
            <w:vMerge/>
            <w:vAlign w:val="center"/>
          </w:tcPr>
          <w:p w14:paraId="50EE6665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64DB0CDA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NF)</w:t>
            </w:r>
          </w:p>
        </w:tc>
      </w:tr>
      <w:tr w:rsidR="0063381C" w:rsidRPr="000B6501" w14:paraId="3ADEB42B" w14:textId="77777777" w:rsidTr="009C5785">
        <w:tc>
          <w:tcPr>
            <w:tcW w:w="1156" w:type="pct"/>
            <w:vMerge/>
            <w:vAlign w:val="center"/>
          </w:tcPr>
          <w:p w14:paraId="1A950C45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6304668A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NF)</w:t>
            </w:r>
          </w:p>
        </w:tc>
      </w:tr>
      <w:tr w:rsidR="0063381C" w:rsidRPr="000B6501" w14:paraId="5B0DF32D" w14:textId="77777777" w:rsidTr="009C5785">
        <w:tc>
          <w:tcPr>
            <w:tcW w:w="1156" w:type="pct"/>
            <w:vMerge/>
            <w:vAlign w:val="center"/>
          </w:tcPr>
          <w:p w14:paraId="0CB2AF04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3DF0D451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P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PA)</w:t>
            </w:r>
          </w:p>
        </w:tc>
      </w:tr>
      <w:tr w:rsidR="0063381C" w:rsidRPr="000B6501" w14:paraId="5D717BCF" w14:textId="77777777" w:rsidTr="009C5785">
        <w:tc>
          <w:tcPr>
            <w:tcW w:w="1156" w:type="pct"/>
            <w:vMerge/>
            <w:vAlign w:val="center"/>
          </w:tcPr>
          <w:p w14:paraId="4136F7B0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74C8FBD1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Q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QVT)</w:t>
            </w:r>
          </w:p>
        </w:tc>
      </w:tr>
      <w:tr w:rsidR="0063381C" w:rsidRPr="000B6501" w14:paraId="664F4AD9" w14:textId="77777777" w:rsidTr="009C5785">
        <w:tc>
          <w:tcPr>
            <w:tcW w:w="1156" w:type="pct"/>
            <w:vMerge/>
            <w:vAlign w:val="center"/>
          </w:tcPr>
          <w:p w14:paraId="65A789D7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675FEE8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PA/QVT)</w:t>
            </w:r>
          </w:p>
        </w:tc>
      </w:tr>
      <w:tr w:rsidR="0063381C" w:rsidRPr="000B6501" w14:paraId="44372980" w14:textId="77777777" w:rsidTr="009C5785">
        <w:tc>
          <w:tcPr>
            <w:tcW w:w="1156" w:type="pct"/>
            <w:vMerge/>
            <w:vAlign w:val="center"/>
          </w:tcPr>
          <w:p w14:paraId="0AF74672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4B562E33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(New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Step)</w:t>
            </w:r>
          </w:p>
        </w:tc>
      </w:tr>
      <w:tr w:rsidR="0063381C" w:rsidRPr="000B6501" w14:paraId="7F6B4408" w14:textId="77777777" w:rsidTr="009C5785">
        <w:tc>
          <w:tcPr>
            <w:tcW w:w="1156" w:type="pct"/>
            <w:vMerge/>
            <w:vAlign w:val="center"/>
          </w:tcPr>
          <w:p w14:paraId="133FFE93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19161689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Step)</w:t>
            </w:r>
          </w:p>
        </w:tc>
      </w:tr>
      <w:tr w:rsidR="0063381C" w:rsidRPr="000B6501" w14:paraId="15DE6EC6" w14:textId="77777777" w:rsidTr="009C5785">
        <w:tc>
          <w:tcPr>
            <w:tcW w:w="1156" w:type="pct"/>
            <w:vMerge/>
            <w:vAlign w:val="center"/>
          </w:tcPr>
          <w:p w14:paraId="511DE4EF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02E492C0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U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PA/DD)</w:t>
            </w:r>
          </w:p>
        </w:tc>
      </w:tr>
      <w:tr w:rsidR="0063381C" w:rsidRPr="000B6501" w14:paraId="79EA0CAC" w14:textId="77777777" w:rsidTr="009C5785">
        <w:tc>
          <w:tcPr>
            <w:tcW w:w="1156" w:type="pct"/>
            <w:vMerge/>
            <w:vAlign w:val="center"/>
          </w:tcPr>
          <w:p w14:paraId="114C5D0E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399A9244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V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QVT)</w:t>
            </w:r>
          </w:p>
        </w:tc>
      </w:tr>
      <w:tr w:rsidR="0063381C" w:rsidRPr="000B6501" w14:paraId="301334E5" w14:textId="77777777" w:rsidTr="009C5785">
        <w:tc>
          <w:tcPr>
            <w:tcW w:w="1156" w:type="pct"/>
            <w:vMerge/>
            <w:vAlign w:val="center"/>
          </w:tcPr>
          <w:p w14:paraId="22F517C0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2F9CDE91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NF/DD)</w:t>
            </w:r>
          </w:p>
        </w:tc>
      </w:tr>
      <w:tr w:rsidR="0063381C" w:rsidRPr="000B6501" w14:paraId="3FB5011F" w14:textId="77777777" w:rsidTr="009C5785">
        <w:tc>
          <w:tcPr>
            <w:tcW w:w="1156" w:type="pct"/>
            <w:vMerge/>
            <w:vAlign w:val="center"/>
          </w:tcPr>
          <w:p w14:paraId="6BE11552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34FBECB7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X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NF/QVT)</w:t>
            </w:r>
          </w:p>
        </w:tc>
      </w:tr>
      <w:tr w:rsidR="0063381C" w:rsidRPr="000B6501" w14:paraId="0B5753F6" w14:textId="77777777" w:rsidTr="009C5785">
        <w:tc>
          <w:tcPr>
            <w:tcW w:w="1156" w:type="pct"/>
            <w:vMerge/>
            <w:vAlign w:val="center"/>
          </w:tcPr>
          <w:p w14:paraId="1DF8D788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6E714B01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QVT/DD)</w:t>
            </w:r>
          </w:p>
        </w:tc>
      </w:tr>
      <w:tr w:rsidR="0063381C" w:rsidRPr="000B6501" w14:paraId="51B0DFC8" w14:textId="77777777" w:rsidTr="009C5785">
        <w:tc>
          <w:tcPr>
            <w:tcW w:w="1156" w:type="pct"/>
            <w:vMerge/>
            <w:vAlign w:val="center"/>
          </w:tcPr>
          <w:p w14:paraId="303CBBBE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vAlign w:val="bottom"/>
          </w:tcPr>
          <w:p w14:paraId="24FB246B" w14:textId="77777777" w:rsidR="0063381C" w:rsidRPr="000B6501" w:rsidRDefault="0063381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Z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(Renewing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PA/NF)</w:t>
            </w:r>
          </w:p>
        </w:tc>
      </w:tr>
      <w:tr w:rsidR="00B8095C" w:rsidRPr="000B6501" w14:paraId="5BFC7D7C" w14:textId="77777777" w:rsidTr="009C5785">
        <w:tc>
          <w:tcPr>
            <w:tcW w:w="11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5DD5E" w14:textId="1BBE16C8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TF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spellStart"/>
            <w:r w:rsidRPr="000B6501">
              <w:rPr>
                <w:rFonts w:ascii="Verdana" w:hAnsi="Verdana" w:cs="Arial"/>
              </w:rPr>
              <w:t>RxClaim</w:t>
            </w:r>
            <w:proofErr w:type="spellEnd"/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Assigned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Letter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Type</w:t>
            </w:r>
          </w:p>
        </w:tc>
        <w:tc>
          <w:tcPr>
            <w:tcW w:w="3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A0D3A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Current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proofErr w:type="spellStart"/>
            <w:r w:rsidRPr="000B6501">
              <w:rPr>
                <w:rFonts w:ascii="Verdana" w:hAnsi="Verdana" w:cs="Arial"/>
              </w:rPr>
              <w:t>RxClaim</w:t>
            </w:r>
            <w:proofErr w:type="spellEnd"/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Assigned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Letter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Types.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</w:p>
          <w:p w14:paraId="1E2A5F1C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Current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Values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listed;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however,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any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value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should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accepted.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</w:p>
          <w:p w14:paraId="5A8F8485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</w:p>
          <w:p w14:paraId="4EDBC9DE" w14:textId="77777777" w:rsidR="00B8095C" w:rsidRPr="000B6501" w:rsidRDefault="009852D6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  <w:b/>
              </w:rPr>
              <w:t>Note</w:t>
            </w:r>
            <w:r w:rsidR="00B8095C" w:rsidRPr="000B6501">
              <w:rPr>
                <w:rFonts w:ascii="Verdana" w:hAnsi="Verdana" w:cs="Arial"/>
                <w:b/>
              </w:rPr>
              <w:t>:</w:t>
            </w:r>
            <w:r w:rsidR="001701B1" w:rsidRPr="000B6501">
              <w:rPr>
                <w:rFonts w:ascii="Verdana" w:hAnsi="Verdana" w:cs="Arial"/>
                <w:b/>
              </w:rPr>
              <w:t xml:space="preserve"> 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Currently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codes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are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only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ONE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character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but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could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be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TWO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characters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in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B8095C" w:rsidRPr="000B6501">
              <w:rPr>
                <w:rFonts w:ascii="Verdana" w:hAnsi="Verdana" w:cs="Arial"/>
              </w:rPr>
              <w:t>future.</w:t>
            </w:r>
          </w:p>
          <w:p w14:paraId="60DC2489" w14:textId="77777777" w:rsidR="00B8095C" w:rsidRPr="000B6501" w:rsidRDefault="00B8095C" w:rsidP="00474631">
            <w:pPr>
              <w:numPr>
                <w:ilvl w:val="0"/>
                <w:numId w:val="33"/>
              </w:num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list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below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is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only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partial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list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of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possible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codes.</w:t>
            </w:r>
          </w:p>
          <w:p w14:paraId="78728245" w14:textId="77777777" w:rsidR="000B6501" w:rsidRPr="000B6501" w:rsidRDefault="000B6501" w:rsidP="000B6501">
            <w:pPr>
              <w:ind w:left="720"/>
              <w:rPr>
                <w:rFonts w:ascii="Verdana" w:hAnsi="Verdana" w:cs="Arial"/>
              </w:rPr>
            </w:pPr>
          </w:p>
        </w:tc>
      </w:tr>
      <w:tr w:rsidR="00B8095C" w:rsidRPr="000B6501" w14:paraId="730CAE4F" w14:textId="77777777" w:rsidTr="009C5785">
        <w:tc>
          <w:tcPr>
            <w:tcW w:w="11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66F7F6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339CA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D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(Daily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Dose)</w:t>
            </w:r>
          </w:p>
        </w:tc>
      </w:tr>
      <w:tr w:rsidR="00B8095C" w:rsidRPr="000B6501" w14:paraId="5469ABAC" w14:textId="77777777" w:rsidTr="009C5785">
        <w:tc>
          <w:tcPr>
            <w:tcW w:w="11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87F032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68143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P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(Prior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Auth)</w:t>
            </w:r>
          </w:p>
        </w:tc>
      </w:tr>
      <w:tr w:rsidR="00B8095C" w:rsidRPr="000B6501" w14:paraId="49860774" w14:textId="77777777" w:rsidTr="009C5785">
        <w:tc>
          <w:tcPr>
            <w:tcW w:w="11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D87F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</w:p>
        </w:tc>
        <w:tc>
          <w:tcPr>
            <w:tcW w:w="3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D7960" w14:textId="77777777" w:rsidR="00B8095C" w:rsidRPr="000B6501" w:rsidRDefault="00B8095C" w:rsidP="008167F0">
            <w:pPr>
              <w:rPr>
                <w:rFonts w:ascii="Verdana" w:hAnsi="Verdana" w:cs="Arial"/>
              </w:rPr>
            </w:pPr>
            <w:r w:rsidRPr="000B6501">
              <w:rPr>
                <w:rFonts w:ascii="Verdana" w:hAnsi="Verdana" w:cs="Arial"/>
              </w:rPr>
              <w:t>S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Pr="000B6501">
              <w:rPr>
                <w:rFonts w:ascii="Verdana" w:hAnsi="Verdana" w:cs="Arial"/>
              </w:rPr>
              <w:t>(Step)</w:t>
            </w:r>
          </w:p>
        </w:tc>
      </w:tr>
    </w:tbl>
    <w:p w14:paraId="5A4D6639" w14:textId="77777777" w:rsidR="00121ABC" w:rsidRDefault="00121ABC" w:rsidP="00121ABC">
      <w:pPr>
        <w:ind w:left="360"/>
        <w:jc w:val="right"/>
        <w:rPr>
          <w:rFonts w:ascii="Verdana" w:hAnsi="Verdana"/>
        </w:rPr>
      </w:pPr>
    </w:p>
    <w:p w14:paraId="665779D0" w14:textId="73C92425" w:rsidR="00121ABC" w:rsidRDefault="00121ABC" w:rsidP="00121ABC">
      <w:pPr>
        <w:ind w:left="360"/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21ABC" w14:paraId="3B30F831" w14:textId="77777777" w:rsidTr="00121AB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E909FD" w14:textId="77777777" w:rsidR="00121ABC" w:rsidRPr="00F331CD" w:rsidRDefault="00AC3F90" w:rsidP="00F331C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0" w:name="_Transition_Fills_Scenario"/>
            <w:bookmarkStart w:id="31" w:name="OLE_LINK63"/>
            <w:bookmarkStart w:id="32" w:name="_Toc149848634"/>
            <w:bookmarkEnd w:id="30"/>
            <w:r w:rsidRPr="00F331CD">
              <w:rPr>
                <w:rFonts w:ascii="Verdana" w:hAnsi="Verdana"/>
                <w:i w:val="0"/>
                <w:iCs w:val="0"/>
              </w:rPr>
              <w:t>Transition Fill</w:t>
            </w:r>
            <w:r w:rsidR="00960AE3" w:rsidRPr="00F331CD">
              <w:rPr>
                <w:rFonts w:ascii="Verdana" w:hAnsi="Verdana"/>
                <w:i w:val="0"/>
                <w:iCs w:val="0"/>
              </w:rPr>
              <w:t>s</w:t>
            </w:r>
            <w:r w:rsidRPr="00F331CD">
              <w:rPr>
                <w:rFonts w:ascii="Verdana" w:hAnsi="Verdana"/>
                <w:i w:val="0"/>
                <w:iCs w:val="0"/>
              </w:rPr>
              <w:t xml:space="preserve"> </w:t>
            </w:r>
            <w:r w:rsidR="00121ABC" w:rsidRPr="00F331CD">
              <w:rPr>
                <w:rFonts w:ascii="Verdana" w:hAnsi="Verdana"/>
                <w:i w:val="0"/>
                <w:iCs w:val="0"/>
              </w:rPr>
              <w:t>Scenario Guide</w:t>
            </w:r>
            <w:bookmarkEnd w:id="31"/>
            <w:bookmarkEnd w:id="32"/>
          </w:p>
        </w:tc>
      </w:tr>
    </w:tbl>
    <w:p w14:paraId="60AE3C00" w14:textId="77777777" w:rsidR="00AC3F90" w:rsidRDefault="00AC3F90" w:rsidP="00AC3F90">
      <w:pPr>
        <w:autoSpaceDE w:val="0"/>
        <w:autoSpaceDN w:val="0"/>
        <w:adjustRightInd w:val="0"/>
        <w:ind w:left="720"/>
        <w:rPr>
          <w:rFonts w:ascii="Verdana" w:hAnsi="Verdana" w:cs="Arial"/>
        </w:rPr>
      </w:pPr>
    </w:p>
    <w:p w14:paraId="1740C1CA" w14:textId="77777777" w:rsidR="00121ABC" w:rsidRDefault="00121ABC">
      <w:pPr>
        <w:numPr>
          <w:ilvl w:val="0"/>
          <w:numId w:val="52"/>
        </w:num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 xml:space="preserve">A transition </w:t>
      </w:r>
      <w:proofErr w:type="gramStart"/>
      <w:r>
        <w:rPr>
          <w:rFonts w:ascii="Verdana" w:hAnsi="Verdana" w:cs="Arial"/>
        </w:rPr>
        <w:t>fill</w:t>
      </w:r>
      <w:proofErr w:type="gramEnd"/>
      <w:r>
        <w:rPr>
          <w:rFonts w:ascii="Verdana" w:hAnsi="Verdana" w:cs="Arial"/>
        </w:rPr>
        <w:t xml:space="preserve"> for up to at least 30 days will be allowed at any time during the first 90 days of a new beneficiary’s enrollment in a plan.</w:t>
      </w:r>
    </w:p>
    <w:p w14:paraId="2A572A8A" w14:textId="77777777" w:rsidR="00121ABC" w:rsidRDefault="00121ABC">
      <w:pPr>
        <w:numPr>
          <w:ilvl w:val="0"/>
          <w:numId w:val="52"/>
        </w:numPr>
        <w:autoSpaceDE w:val="0"/>
        <w:autoSpaceDN w:val="0"/>
        <w:adjustRightInd w:val="0"/>
        <w:rPr>
          <w:rFonts w:ascii="Verdana" w:hAnsi="Verdana" w:cs="Arial"/>
        </w:rPr>
      </w:pPr>
      <w:r>
        <w:rPr>
          <w:rFonts w:ascii="Verdana" w:hAnsi="Verdana" w:cs="Arial"/>
        </w:rPr>
        <w:t xml:space="preserve">A transition </w:t>
      </w:r>
      <w:proofErr w:type="gramStart"/>
      <w:r>
        <w:rPr>
          <w:rFonts w:ascii="Verdana" w:hAnsi="Verdana" w:cs="Arial"/>
        </w:rPr>
        <w:t>fill</w:t>
      </w:r>
      <w:proofErr w:type="gramEnd"/>
      <w:r>
        <w:rPr>
          <w:rFonts w:ascii="Verdana" w:hAnsi="Verdana" w:cs="Arial"/>
        </w:rPr>
        <w:t xml:space="preserve"> for up to at least 30 days will be allowed for existing beneficiaries, during the first 90 days of the new benefit plan year.</w:t>
      </w:r>
    </w:p>
    <w:p w14:paraId="6D07C6E6" w14:textId="77777777" w:rsidR="00121ABC" w:rsidRDefault="00121ABC">
      <w:pPr>
        <w:numPr>
          <w:ilvl w:val="0"/>
          <w:numId w:val="52"/>
        </w:numPr>
        <w:autoSpaceDE w:val="0"/>
        <w:autoSpaceDN w:val="0"/>
        <w:adjustRightInd w:val="0"/>
        <w:rPr>
          <w:rFonts w:ascii="Verdana" w:hAnsi="Verdana" w:cs="Arial"/>
        </w:rPr>
      </w:pPr>
      <w:bookmarkStart w:id="33" w:name="OLE_LINK39"/>
      <w:r>
        <w:rPr>
          <w:rFonts w:ascii="Verdana" w:hAnsi="Verdana" w:cs="Arial"/>
        </w:rPr>
        <w:t>If one ingredient in a compound drug is not a formulary drug or requires a Coverage Determination, then the drug may fill as a Transition Fill.</w:t>
      </w:r>
    </w:p>
    <w:bookmarkEnd w:id="33"/>
    <w:p w14:paraId="5E664C6E" w14:textId="77777777" w:rsidR="00121ABC" w:rsidRDefault="00121ABC" w:rsidP="00121ABC">
      <w:pPr>
        <w:tabs>
          <w:tab w:val="left" w:pos="5400"/>
        </w:tabs>
        <w:autoSpaceDE w:val="0"/>
        <w:autoSpaceDN w:val="0"/>
        <w:adjustRightInd w:val="0"/>
        <w:rPr>
          <w:rFonts w:ascii="Verdana" w:hAnsi="Verdana"/>
          <w:b/>
        </w:rPr>
      </w:pPr>
    </w:p>
    <w:p w14:paraId="158F00F0" w14:textId="77777777" w:rsidR="00121ABC" w:rsidRDefault="00121ABC" w:rsidP="00121ABC">
      <w:pPr>
        <w:tabs>
          <w:tab w:val="left" w:pos="5400"/>
        </w:tabs>
        <w:autoSpaceDE w:val="0"/>
        <w:autoSpaceDN w:val="0"/>
        <w:adjustRightInd w:val="0"/>
        <w:rPr>
          <w:rFonts w:ascii="Verdana" w:hAnsi="Verdana" w:cs="Arial,BoldItalic"/>
          <w:bCs/>
          <w:iCs/>
        </w:rPr>
      </w:pPr>
      <w:bookmarkStart w:id="34" w:name="OLE_LINK40"/>
      <w:r>
        <w:rPr>
          <w:rFonts w:ascii="Verdana" w:hAnsi="Verdana"/>
          <w:b/>
        </w:rPr>
        <w:t xml:space="preserve">Note:  </w:t>
      </w:r>
      <w:r>
        <w:rPr>
          <w:rFonts w:ascii="Verdana" w:hAnsi="Verdana" w:cs="Arial,BoldItalic"/>
          <w:bCs/>
          <w:iCs/>
        </w:rPr>
        <w:t xml:space="preserve">A </w:t>
      </w:r>
      <w:proofErr w:type="gramStart"/>
      <w:r>
        <w:rPr>
          <w:rFonts w:ascii="Verdana" w:hAnsi="Verdana" w:cs="Arial,BoldItalic"/>
          <w:bCs/>
          <w:iCs/>
        </w:rPr>
        <w:t>Long Term</w:t>
      </w:r>
      <w:proofErr w:type="gramEnd"/>
      <w:r>
        <w:rPr>
          <w:rFonts w:ascii="Verdana" w:hAnsi="Verdana" w:cs="Arial,BoldItalic"/>
          <w:bCs/>
          <w:iCs/>
        </w:rPr>
        <w:t xml:space="preserve"> Care beneficiary receives up to at least a 31-day supply.</w:t>
      </w:r>
      <w:r>
        <w:rPr>
          <w:rFonts w:ascii="Verdana" w:hAnsi="Verdana" w:cs="Arial"/>
        </w:rPr>
        <w:t xml:space="preserve"> </w:t>
      </w:r>
      <w:bookmarkEnd w:id="34"/>
    </w:p>
    <w:p w14:paraId="2A23BD06" w14:textId="77777777" w:rsidR="00820709" w:rsidRDefault="00820709" w:rsidP="00820709"/>
    <w:p w14:paraId="38174DBF" w14:textId="77777777" w:rsidR="00121ABC" w:rsidRPr="00121ABC" w:rsidRDefault="00121ABC" w:rsidP="00820709">
      <w:pPr>
        <w:rPr>
          <w:rFonts w:ascii="Verdana" w:hAnsi="Verdana"/>
        </w:rPr>
      </w:pPr>
      <w:r w:rsidRPr="00121ABC">
        <w:rPr>
          <w:rFonts w:ascii="Verdana" w:hAnsi="Verdana"/>
        </w:rPr>
        <w:t>Following the below scenarios</w:t>
      </w:r>
      <w:r>
        <w:rPr>
          <w:rFonts w:ascii="Verdana" w:hAnsi="Verdana"/>
        </w:rPr>
        <w:t xml:space="preserve"> as needed</w:t>
      </w:r>
      <w:r w:rsidRPr="00121ABC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3164"/>
        <w:gridCol w:w="7827"/>
      </w:tblGrid>
      <w:tr w:rsidR="00AC3F90" w:rsidRPr="003F6F58" w14:paraId="534B26F7" w14:textId="77777777" w:rsidTr="003F6F58"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10E658F" w14:textId="77777777" w:rsidR="00820709" w:rsidRPr="003F6F58" w:rsidRDefault="00820709" w:rsidP="003F6F58">
            <w:pPr>
              <w:jc w:val="center"/>
              <w:rPr>
                <w:rFonts w:ascii="Verdana" w:eastAsia="Calibri" w:hAnsi="Verdana" w:cs="Arial"/>
                <w:b/>
                <w:bCs/>
              </w:rPr>
            </w:pPr>
            <w:r w:rsidRPr="003F6F58">
              <w:rPr>
                <w:rFonts w:ascii="Verdana" w:eastAsia="Calibri" w:hAnsi="Verdana" w:cs="Arial"/>
                <w:b/>
                <w:bCs/>
              </w:rPr>
              <w:t>Scenario</w:t>
            </w:r>
          </w:p>
        </w:tc>
        <w:tc>
          <w:tcPr>
            <w:tcW w:w="4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05B2299" w14:textId="77777777" w:rsidR="00820709" w:rsidRPr="003F6F58" w:rsidRDefault="00820709">
            <w:pPr>
              <w:jc w:val="center"/>
              <w:rPr>
                <w:rFonts w:ascii="Verdana" w:eastAsia="Calibri" w:hAnsi="Verdana" w:cs="Arial"/>
                <w:b/>
                <w:bCs/>
              </w:rPr>
            </w:pPr>
            <w:r w:rsidRPr="003F6F58">
              <w:rPr>
                <w:rFonts w:ascii="Verdana" w:eastAsia="Calibri" w:hAnsi="Verdana" w:cs="Arial"/>
                <w:b/>
                <w:bCs/>
              </w:rPr>
              <w:t xml:space="preserve">Action </w:t>
            </w:r>
          </w:p>
        </w:tc>
      </w:tr>
      <w:tr w:rsidR="003F6F58" w:rsidRPr="003F6F58" w14:paraId="665539B4" w14:textId="77777777" w:rsidTr="003F6F58">
        <w:tc>
          <w:tcPr>
            <w:tcW w:w="6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22B457" w14:textId="77777777" w:rsidR="003F6F58" w:rsidRPr="003F6F58" w:rsidRDefault="003F6F58" w:rsidP="003F6F58">
            <w:pPr>
              <w:pStyle w:val="Heading4"/>
              <w:spacing w:before="0" w:after="0"/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</w:pPr>
            <w:r w:rsidRPr="003F6F58"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  <w:t xml:space="preserve">Transition Fill </w:t>
            </w:r>
          </w:p>
          <w:p w14:paraId="1F6D2295" w14:textId="77777777" w:rsidR="003F6F58" w:rsidRPr="003F6F58" w:rsidRDefault="003F6F58" w:rsidP="003F6F58">
            <w:pPr>
              <w:pStyle w:val="Heading4"/>
              <w:spacing w:before="0" w:after="0"/>
              <w:rPr>
                <w:rFonts w:ascii="Verdana" w:eastAsia="Calibri" w:hAnsi="Verdana" w:cs="Arial"/>
                <w:iCs/>
                <w:sz w:val="24"/>
                <w:szCs w:val="24"/>
              </w:rPr>
            </w:pPr>
            <w:bookmarkStart w:id="35" w:name="_PA_and_Step"/>
            <w:bookmarkEnd w:id="35"/>
            <w:r w:rsidRPr="003F6F58">
              <w:rPr>
                <w:rFonts w:ascii="Verdana" w:eastAsia="Calibri" w:hAnsi="Verdana" w:cs="Arial"/>
                <w:iCs/>
                <w:sz w:val="24"/>
                <w:szCs w:val="24"/>
              </w:rPr>
              <w:t>PA and Step Therapy Meds</w:t>
            </w:r>
          </w:p>
        </w:tc>
        <w:tc>
          <w:tcPr>
            <w:tcW w:w="4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B4D2D" w14:textId="44D88FA2" w:rsidR="003F6F58" w:rsidRPr="003F6F58" w:rsidRDefault="00C20F93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bCs/>
                <w:noProof/>
                <w:color w:val="333333"/>
              </w:rPr>
              <w:drawing>
                <wp:inline distT="0" distB="0" distL="0" distR="0" wp14:anchorId="67028732" wp14:editId="1A18CF62">
                  <wp:extent cx="239395" cy="210820"/>
                  <wp:effectExtent l="0" t="0" r="0" b="0"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6F58" w:rsidRPr="003F6F58">
              <w:rPr>
                <w:rFonts w:ascii="Verdana" w:hAnsi="Verdana"/>
                <w:bCs/>
                <w:color w:val="333333"/>
              </w:rPr>
              <w:t xml:space="preserve"> </w:t>
            </w:r>
            <w:r w:rsidR="003F6F58" w:rsidRPr="003F6F58">
              <w:rPr>
                <w:rFonts w:ascii="Verdana" w:hAnsi="Verdana"/>
              </w:rPr>
              <w:t xml:space="preserve">For a beneficiary to receive a </w:t>
            </w:r>
            <w:r w:rsidR="003F6F58" w:rsidRPr="003F6F58">
              <w:rPr>
                <w:rFonts w:ascii="Verdana" w:hAnsi="Verdana"/>
                <w:b/>
                <w:bCs/>
              </w:rPr>
              <w:t>Step Therapy</w:t>
            </w:r>
            <w:r w:rsidR="003F6F58" w:rsidRPr="003F6F58">
              <w:rPr>
                <w:rFonts w:ascii="Verdana" w:hAnsi="Verdana"/>
              </w:rPr>
              <w:t xml:space="preserve"> medication, the beneficiary is required to try other similar medication(s) first. </w:t>
            </w:r>
          </w:p>
          <w:p w14:paraId="376C8D11" w14:textId="77777777" w:rsidR="003F6F58" w:rsidRPr="003F6F58" w:rsidRDefault="003F6F58">
            <w:pPr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Verdana" w:eastAsia="Calibri" w:hAnsi="Verdana" w:cs="Arial"/>
              </w:rPr>
            </w:pPr>
            <w:r w:rsidRPr="003F6F58">
              <w:rPr>
                <w:rFonts w:ascii="Verdana" w:eastAsia="Calibri" w:hAnsi="Verdana" w:cs="Arial"/>
              </w:rPr>
              <w:t xml:space="preserve">For renewing beneficiaries, the pharmacy claims system will perform a search and look </w:t>
            </w:r>
            <w:r w:rsidRPr="003F6F58">
              <w:rPr>
                <w:rFonts w:ascii="Verdana" w:eastAsia="Calibri" w:hAnsi="Verdana" w:cs="Arial"/>
                <w:b/>
                <w:bCs/>
              </w:rPr>
              <w:t>back 180 days</w:t>
            </w:r>
            <w:r w:rsidRPr="003F6F58">
              <w:rPr>
                <w:rFonts w:ascii="Verdana" w:eastAsia="Calibri" w:hAnsi="Verdana" w:cs="Arial"/>
              </w:rPr>
              <w:t xml:space="preserve"> for prerequisite therapy. New beneficiaries will be assumed to have the prerequisite therapy in history.</w:t>
            </w:r>
          </w:p>
          <w:p w14:paraId="5A6C9739" w14:textId="77777777" w:rsidR="003F6F58" w:rsidRPr="003F6F58" w:rsidRDefault="003F6F58">
            <w:pPr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Verdana" w:eastAsia="Calibri" w:hAnsi="Verdana" w:cs="Arial"/>
              </w:rPr>
            </w:pPr>
            <w:r w:rsidRPr="003F6F58">
              <w:rPr>
                <w:rFonts w:ascii="Verdana" w:eastAsia="Calibri" w:hAnsi="Verdana" w:cs="Arial"/>
              </w:rPr>
              <w:t xml:space="preserve">If the system finds the medications in the beneficiary's history that should be tried first, the claim will pay without any action required by the prescriber. </w:t>
            </w:r>
          </w:p>
          <w:p w14:paraId="12F23B94" w14:textId="77777777" w:rsidR="003F6F58" w:rsidRPr="003F6F58" w:rsidRDefault="003F6F58">
            <w:pPr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Verdana" w:eastAsia="Calibri" w:hAnsi="Verdana" w:cs="Arial"/>
              </w:rPr>
            </w:pPr>
            <w:r w:rsidRPr="003F6F58">
              <w:rPr>
                <w:rFonts w:ascii="Verdana" w:eastAsia="Calibri" w:hAnsi="Verdana" w:cs="Arial"/>
              </w:rPr>
              <w:t xml:space="preserve">If the prerequisite medication is not found in the beneficiary's claim history, the claim will </w:t>
            </w:r>
            <w:proofErr w:type="gramStart"/>
            <w:r w:rsidRPr="003F6F58">
              <w:rPr>
                <w:rFonts w:ascii="Verdana" w:eastAsia="Calibri" w:hAnsi="Verdana" w:cs="Arial"/>
              </w:rPr>
              <w:t>reject</w:t>
            </w:r>
            <w:proofErr w:type="gramEnd"/>
            <w:r w:rsidRPr="003F6F58">
              <w:rPr>
                <w:rFonts w:ascii="Verdana" w:eastAsia="Calibri" w:hAnsi="Verdana" w:cs="Arial"/>
              </w:rPr>
              <w:t xml:space="preserve">. </w:t>
            </w:r>
          </w:p>
          <w:p w14:paraId="71E45662" w14:textId="77777777" w:rsidR="003F6F58" w:rsidRPr="003F6F58" w:rsidRDefault="003F6F58">
            <w:pPr>
              <w:numPr>
                <w:ilvl w:val="1"/>
                <w:numId w:val="48"/>
              </w:numPr>
              <w:autoSpaceDE w:val="0"/>
              <w:autoSpaceDN w:val="0"/>
              <w:adjustRightInd w:val="0"/>
              <w:rPr>
                <w:rFonts w:ascii="Verdana" w:eastAsia="Calibri" w:hAnsi="Verdana" w:cs="Arial"/>
              </w:rPr>
            </w:pPr>
            <w:r w:rsidRPr="003F6F58">
              <w:rPr>
                <w:rFonts w:ascii="Verdana" w:eastAsia="Calibri" w:hAnsi="Verdana" w:cs="Arial"/>
              </w:rPr>
              <w:t xml:space="preserve">When this occurs, the prescriber may call the Coverage Determinations &amp; Appeals department to ask for an exception to the step therapy protocols if they still feel this is the best choice for the beneficiary. </w:t>
            </w:r>
          </w:p>
          <w:p w14:paraId="5FD2E197" w14:textId="77777777" w:rsidR="003F6F58" w:rsidRPr="003F6F58" w:rsidRDefault="003F6F58">
            <w:pPr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Verdana" w:eastAsia="Calibri" w:hAnsi="Verdana" w:cs="Arial"/>
              </w:rPr>
            </w:pPr>
            <w:r w:rsidRPr="003F6F58">
              <w:rPr>
                <w:rFonts w:ascii="Verdana" w:eastAsia="Calibri" w:hAnsi="Verdana" w:cs="Arial"/>
              </w:rPr>
              <w:t>Step therapy follows accepted medical standards of practice with the logical progression of medication therapies.</w:t>
            </w:r>
          </w:p>
          <w:p w14:paraId="07DEED71" w14:textId="77777777" w:rsidR="003F6F58" w:rsidRPr="003F6F58" w:rsidRDefault="003F6F58">
            <w:pPr>
              <w:autoSpaceDE w:val="0"/>
              <w:autoSpaceDN w:val="0"/>
              <w:adjustRightInd w:val="0"/>
              <w:rPr>
                <w:rFonts w:ascii="Verdana" w:eastAsia="Calibri" w:hAnsi="Verdana" w:cs="Arial"/>
              </w:rPr>
            </w:pPr>
          </w:p>
          <w:p w14:paraId="0E47BF93" w14:textId="77777777" w:rsidR="003F6F58" w:rsidRPr="003F6F58" w:rsidRDefault="003F6F58">
            <w:pPr>
              <w:textAlignment w:val="top"/>
              <w:rPr>
                <w:rFonts w:ascii="Verdana" w:hAnsi="Verdana"/>
              </w:rPr>
            </w:pPr>
            <w:r w:rsidRPr="003F6F58">
              <w:rPr>
                <w:rFonts w:ascii="Verdana" w:hAnsi="Verdana"/>
                <w:b/>
              </w:rPr>
              <w:t xml:space="preserve">Note:  </w:t>
            </w:r>
            <w:r w:rsidRPr="003F6F58">
              <w:rPr>
                <w:rFonts w:ascii="Verdana" w:hAnsi="Verdana"/>
              </w:rPr>
              <w:t xml:space="preserve">The CCR is looking for the following messages:  </w:t>
            </w:r>
          </w:p>
          <w:p w14:paraId="718D34BA" w14:textId="77777777" w:rsidR="003F6F58" w:rsidRPr="003F6F58" w:rsidRDefault="003F6F58">
            <w:pPr>
              <w:textAlignment w:val="top"/>
              <w:rPr>
                <w:rFonts w:ascii="Verdana" w:hAnsi="Verdana"/>
              </w:rPr>
            </w:pPr>
          </w:p>
          <w:p w14:paraId="512CCAF7" w14:textId="77777777" w:rsidR="003F6F58" w:rsidRPr="003F6F58" w:rsidRDefault="003F6F58">
            <w:pPr>
              <w:textAlignment w:val="top"/>
              <w:rPr>
                <w:rFonts w:ascii="Verdana" w:eastAsia="Calibri" w:hAnsi="Verdana" w:cs="Arial"/>
                <w:b/>
              </w:rPr>
            </w:pPr>
            <w:r w:rsidRPr="003F6F58">
              <w:rPr>
                <w:rFonts w:ascii="Verdana" w:eastAsia="Calibri" w:hAnsi="Verdana" w:cs="Arial"/>
                <w:b/>
              </w:rPr>
              <w:t xml:space="preserve">PA:  </w:t>
            </w:r>
          </w:p>
          <w:p w14:paraId="3E734843" w14:textId="77777777" w:rsidR="003F6F58" w:rsidRPr="003F6F58" w:rsidRDefault="003F6F58">
            <w:pPr>
              <w:numPr>
                <w:ilvl w:val="0"/>
                <w:numId w:val="49"/>
              </w:numPr>
              <w:textAlignment w:val="top"/>
              <w:rPr>
                <w:rFonts w:ascii="Verdana" w:eastAsia="Calibri" w:hAnsi="Verdana" w:cs="Arial"/>
              </w:rPr>
            </w:pPr>
            <w:r w:rsidRPr="003F6F58">
              <w:rPr>
                <w:rFonts w:ascii="Verdana" w:eastAsia="Calibri" w:hAnsi="Verdana" w:cs="Arial"/>
              </w:rPr>
              <w:t>Drug requires Prior Authorization.</w:t>
            </w:r>
          </w:p>
          <w:p w14:paraId="67A806B5" w14:textId="77777777" w:rsidR="003F6F58" w:rsidRPr="003F6F58" w:rsidRDefault="003F6F58">
            <w:pPr>
              <w:ind w:left="720"/>
              <w:textAlignment w:val="top"/>
              <w:rPr>
                <w:rFonts w:ascii="Verdana" w:eastAsia="Calibri" w:hAnsi="Verdana" w:cs="Arial"/>
              </w:rPr>
            </w:pPr>
          </w:p>
          <w:p w14:paraId="34163BD3" w14:textId="77777777" w:rsidR="003F6F58" w:rsidRPr="003F6F58" w:rsidRDefault="003F6F58">
            <w:pPr>
              <w:textAlignment w:val="top"/>
              <w:rPr>
                <w:rFonts w:ascii="Verdana" w:eastAsia="Calibri" w:hAnsi="Verdana" w:cs="Arial"/>
              </w:rPr>
            </w:pPr>
          </w:p>
          <w:p w14:paraId="5401E0F9" w14:textId="77777777" w:rsidR="003F6F58" w:rsidRPr="003F6F58" w:rsidRDefault="003F6F58">
            <w:pPr>
              <w:textAlignment w:val="top"/>
              <w:rPr>
                <w:rFonts w:ascii="Verdana" w:eastAsia="Calibri" w:hAnsi="Verdana" w:cs="Arial"/>
              </w:rPr>
            </w:pPr>
            <w:bookmarkStart w:id="36" w:name="OLE_LINK45"/>
            <w:r w:rsidRPr="003F6F58">
              <w:rPr>
                <w:rFonts w:ascii="Verdana" w:eastAsia="Calibri" w:hAnsi="Verdana" w:cs="Arial"/>
                <w:b/>
              </w:rPr>
              <w:t xml:space="preserve">Reminder:  </w:t>
            </w:r>
            <w:r w:rsidRPr="003F6F58">
              <w:rPr>
                <w:rFonts w:ascii="Verdana" w:eastAsia="Calibri" w:hAnsi="Verdana" w:cs="Arial"/>
              </w:rPr>
              <w:t>These messages will appear the second time the beneficiary attempts to fill the prescription.</w:t>
            </w:r>
          </w:p>
          <w:p w14:paraId="672089B2" w14:textId="77777777" w:rsidR="003F6F58" w:rsidRPr="003F6F58" w:rsidRDefault="003F6F58">
            <w:pPr>
              <w:ind w:left="431"/>
              <w:textAlignment w:val="top"/>
              <w:rPr>
                <w:rFonts w:ascii="Verdana" w:eastAsia="Calibri" w:hAnsi="Verdana" w:cs="Arial"/>
              </w:rPr>
            </w:pPr>
            <w:r w:rsidRPr="003F6F58">
              <w:rPr>
                <w:rFonts w:ascii="Verdana" w:eastAsia="Calibri" w:hAnsi="Verdana" w:cs="Arial"/>
              </w:rPr>
              <w:t xml:space="preserve">The adjudication system automation will allow the claim to be paid for the </w:t>
            </w:r>
            <w:r w:rsidRPr="003F6F58">
              <w:rPr>
                <w:rFonts w:ascii="Verdana" w:eastAsia="Calibri" w:hAnsi="Verdana" w:cs="Arial"/>
                <w:b/>
              </w:rPr>
              <w:t xml:space="preserve">FIRST </w:t>
            </w:r>
            <w:r w:rsidRPr="003F6F58">
              <w:rPr>
                <w:rFonts w:ascii="Verdana" w:eastAsia="Calibri" w:hAnsi="Verdana" w:cs="Arial"/>
              </w:rPr>
              <w:t>fill of the year.</w:t>
            </w:r>
          </w:p>
          <w:bookmarkEnd w:id="36"/>
          <w:p w14:paraId="0CFBEF6D" w14:textId="77777777" w:rsidR="003F6F58" w:rsidRPr="003F6F58" w:rsidRDefault="003F6F58">
            <w:pPr>
              <w:textAlignment w:val="top"/>
              <w:rPr>
                <w:rFonts w:ascii="Verdana" w:eastAsia="Calibri" w:hAnsi="Verdana" w:cs="Arial"/>
              </w:rPr>
            </w:pPr>
          </w:p>
          <w:p w14:paraId="381CCD77" w14:textId="77777777" w:rsidR="003F6F58" w:rsidRPr="003F6F58" w:rsidRDefault="003F6F58">
            <w:pPr>
              <w:textAlignment w:val="top"/>
              <w:rPr>
                <w:rFonts w:ascii="Verdana" w:eastAsia="Calibri" w:hAnsi="Verdana" w:cs="Arial"/>
                <w:b/>
              </w:rPr>
            </w:pPr>
            <w:r w:rsidRPr="003F6F58">
              <w:rPr>
                <w:rFonts w:ascii="Verdana" w:eastAsia="Calibri" w:hAnsi="Verdana" w:cs="Arial"/>
                <w:b/>
              </w:rPr>
              <w:t xml:space="preserve">Step Therapy:  </w:t>
            </w:r>
          </w:p>
          <w:p w14:paraId="44030FCB" w14:textId="77777777" w:rsidR="003F6F58" w:rsidRPr="003F6F58" w:rsidRDefault="003F6F58">
            <w:pPr>
              <w:numPr>
                <w:ilvl w:val="0"/>
                <w:numId w:val="49"/>
              </w:numPr>
              <w:textAlignment w:val="top"/>
              <w:rPr>
                <w:rFonts w:ascii="Verdana" w:eastAsia="Calibri" w:hAnsi="Verdana" w:cs="Arial"/>
              </w:rPr>
            </w:pPr>
            <w:r w:rsidRPr="003F6F58">
              <w:rPr>
                <w:rFonts w:ascii="Verdana" w:eastAsia="Calibri" w:hAnsi="Verdana" w:cs="Arial"/>
              </w:rPr>
              <w:t>Must meet step, PA REQR 1-855-344-0930.</w:t>
            </w:r>
          </w:p>
          <w:p w14:paraId="4481B61D" w14:textId="77777777" w:rsidR="003F6F58" w:rsidRPr="003F6F58" w:rsidRDefault="003F6F58">
            <w:pPr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rFonts w:ascii="Verdana" w:eastAsia="Calibri" w:hAnsi="Verdana" w:cs="Symbol"/>
              </w:rPr>
            </w:pPr>
            <w:r w:rsidRPr="003F6F58">
              <w:rPr>
                <w:rFonts w:ascii="Verdana" w:eastAsia="Calibri" w:hAnsi="Verdana" w:cs="Arial"/>
              </w:rPr>
              <w:t>These reject messages will only be returned on claims which are eligible for the transition override.</w:t>
            </w:r>
          </w:p>
          <w:p w14:paraId="3F34486F" w14:textId="77777777" w:rsidR="003F6F58" w:rsidRPr="003F6F58" w:rsidRDefault="003F6F58">
            <w:pPr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rFonts w:ascii="Verdana" w:eastAsia="Calibri" w:hAnsi="Verdana" w:cs="Symbol"/>
              </w:rPr>
            </w:pPr>
            <w:proofErr w:type="spellStart"/>
            <w:r w:rsidRPr="003F6F58">
              <w:rPr>
                <w:rFonts w:ascii="Verdana" w:eastAsia="Calibri" w:hAnsi="Verdana" w:cs="Arial"/>
              </w:rPr>
              <w:t>RxClaim</w:t>
            </w:r>
            <w:proofErr w:type="spellEnd"/>
            <w:r w:rsidRPr="003F6F58">
              <w:rPr>
                <w:rFonts w:ascii="Verdana" w:eastAsia="Calibri" w:hAnsi="Verdana" w:cs="Arial"/>
              </w:rPr>
              <w:t xml:space="preserve"> will automatically enter the override code in the PA field to allow the claim to pay if eligible under transition fill guidelines.</w:t>
            </w:r>
          </w:p>
          <w:p w14:paraId="53CB9241" w14:textId="77777777" w:rsidR="003F6F58" w:rsidRPr="003F6F58" w:rsidRDefault="003F6F58">
            <w:pPr>
              <w:numPr>
                <w:ilvl w:val="0"/>
                <w:numId w:val="49"/>
              </w:numPr>
              <w:textAlignment w:val="top"/>
              <w:rPr>
                <w:rFonts w:ascii="Verdana" w:eastAsia="Calibri" w:hAnsi="Verdana"/>
              </w:rPr>
            </w:pPr>
            <w:r w:rsidRPr="003F6F58">
              <w:rPr>
                <w:rFonts w:ascii="Verdana" w:eastAsia="Calibri" w:hAnsi="Verdana" w:cs="Arial"/>
              </w:rPr>
              <w:t>This override will allow up to a 30-day supply to process.</w:t>
            </w:r>
          </w:p>
          <w:p w14:paraId="43B6AFD7" w14:textId="77777777" w:rsidR="003F6F58" w:rsidRPr="003F6F58" w:rsidRDefault="003F6F58">
            <w:pPr>
              <w:textAlignment w:val="top"/>
              <w:rPr>
                <w:rFonts w:ascii="Verdana" w:eastAsia="Calibri" w:hAnsi="Verdana" w:cs="Arial"/>
              </w:rPr>
            </w:pPr>
          </w:p>
          <w:p w14:paraId="528497FB" w14:textId="77777777" w:rsidR="003F6F58" w:rsidRPr="003F6F58" w:rsidRDefault="003F6F58">
            <w:pPr>
              <w:textAlignment w:val="top"/>
              <w:rPr>
                <w:rFonts w:ascii="Verdana" w:eastAsia="Calibri" w:hAnsi="Verdana" w:cs="Arial"/>
              </w:rPr>
            </w:pPr>
            <w:r w:rsidRPr="003F6F58">
              <w:rPr>
                <w:rFonts w:ascii="Verdana" w:eastAsia="Calibri" w:hAnsi="Verdana" w:cs="Arial"/>
                <w:b/>
              </w:rPr>
              <w:t xml:space="preserve">Reminder:  </w:t>
            </w:r>
            <w:r w:rsidRPr="003F6F58">
              <w:rPr>
                <w:rFonts w:ascii="Verdana" w:eastAsia="Calibri" w:hAnsi="Verdana" w:cs="Arial"/>
              </w:rPr>
              <w:t xml:space="preserve">There may be more than one rejected claim on the beneficiary’s account. </w:t>
            </w:r>
          </w:p>
          <w:p w14:paraId="43C75FF6" w14:textId="77777777" w:rsidR="003F6F58" w:rsidRPr="003F6F58" w:rsidRDefault="003F6F58">
            <w:pPr>
              <w:numPr>
                <w:ilvl w:val="0"/>
                <w:numId w:val="50"/>
              </w:numPr>
              <w:textAlignment w:val="top"/>
              <w:rPr>
                <w:rFonts w:ascii="Verdana" w:eastAsia="Calibri" w:hAnsi="Verdana"/>
              </w:rPr>
            </w:pPr>
            <w:r w:rsidRPr="003F6F58">
              <w:rPr>
                <w:rFonts w:ascii="Verdana" w:eastAsia="Calibri" w:hAnsi="Verdana" w:cs="Arial"/>
              </w:rPr>
              <w:t>For the Transition Fill issue, the CCR may need to review more than one rejected claim in search of these messages.</w:t>
            </w:r>
          </w:p>
          <w:p w14:paraId="52B929CC" w14:textId="77777777" w:rsidR="003F6F58" w:rsidRPr="003F6F58" w:rsidRDefault="003F6F58">
            <w:pPr>
              <w:autoSpaceDE w:val="0"/>
              <w:autoSpaceDN w:val="0"/>
              <w:adjustRightInd w:val="0"/>
              <w:rPr>
                <w:rFonts w:ascii="Verdana" w:eastAsia="Calibri" w:hAnsi="Verdana" w:cs="Arial"/>
              </w:rPr>
            </w:pPr>
          </w:p>
          <w:p w14:paraId="512728CE" w14:textId="77777777" w:rsidR="003F6F58" w:rsidRPr="003F6F58" w:rsidRDefault="003F6F58">
            <w:pPr>
              <w:autoSpaceDE w:val="0"/>
              <w:autoSpaceDN w:val="0"/>
              <w:adjustRightInd w:val="0"/>
              <w:rPr>
                <w:rFonts w:ascii="Verdana" w:eastAsia="Calibri" w:hAnsi="Verdana" w:cs="Arial"/>
              </w:rPr>
            </w:pPr>
          </w:p>
        </w:tc>
      </w:tr>
      <w:tr w:rsidR="003F6F58" w:rsidRPr="003F6F58" w14:paraId="1A29FF54" w14:textId="77777777"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11889B" w14:textId="77777777" w:rsidR="003F6F58" w:rsidRPr="003F6F58" w:rsidRDefault="003F6F58" w:rsidP="003F6F58">
            <w:pPr>
              <w:pStyle w:val="Heading4"/>
              <w:spacing w:before="0" w:after="0"/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</w:pP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330B69E7" w14:textId="3E6DE7E9" w:rsidR="003F6F58" w:rsidRPr="003F6F58" w:rsidDel="003F6F58" w:rsidRDefault="003F6F58" w:rsidP="003F6F5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3F6F58">
              <w:rPr>
                <w:rFonts w:ascii="Verdana" w:hAnsi="Verdana"/>
                <w:b/>
              </w:rPr>
              <w:t>If rejected medication has…</w:t>
            </w:r>
          </w:p>
        </w:tc>
        <w:tc>
          <w:tcPr>
            <w:tcW w:w="30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4B2606D" w14:textId="1966B6C1" w:rsidR="003F6F58" w:rsidRPr="003F6F58" w:rsidDel="003F6F58" w:rsidRDefault="003F6F58" w:rsidP="003F6F58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 w:rsidRPr="003F6F58">
              <w:rPr>
                <w:rFonts w:ascii="Verdana" w:hAnsi="Verdana"/>
                <w:b/>
              </w:rPr>
              <w:t>Then…</w:t>
            </w:r>
          </w:p>
        </w:tc>
      </w:tr>
      <w:tr w:rsidR="003F6F58" w:rsidRPr="003F6F58" w14:paraId="3379A10E" w14:textId="77777777" w:rsidTr="003F6F58">
        <w:tc>
          <w:tcPr>
            <w:tcW w:w="6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A92A1D" w14:textId="77777777" w:rsidR="003F6F58" w:rsidRPr="003F6F58" w:rsidRDefault="003F6F58" w:rsidP="003F6F58">
            <w:pPr>
              <w:pStyle w:val="Heading4"/>
              <w:spacing w:before="0" w:after="0"/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</w:pPr>
          </w:p>
        </w:tc>
        <w:tc>
          <w:tcPr>
            <w:tcW w:w="12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E83BA2" w14:textId="147DCD2D" w:rsidR="003F6F58" w:rsidRPr="003F6F58" w:rsidDel="003F6F58" w:rsidRDefault="003F6F58" w:rsidP="003F6F58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3F6F58">
              <w:rPr>
                <w:rFonts w:ascii="Verdana" w:hAnsi="Verdana"/>
                <w:color w:val="000000"/>
              </w:rPr>
              <w:t>Paid previously</w:t>
            </w:r>
          </w:p>
        </w:tc>
        <w:tc>
          <w:tcPr>
            <w:tcW w:w="305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3500A1" w14:textId="1772CBA4" w:rsidR="003F6F58" w:rsidRPr="003F6F58" w:rsidRDefault="003F6F58" w:rsidP="003F6F58">
            <w:pPr>
              <w:numPr>
                <w:ilvl w:val="0"/>
                <w:numId w:val="21"/>
              </w:numPr>
              <w:rPr>
                <w:rFonts w:ascii="Verdana" w:hAnsi="Verdana"/>
                <w:bCs/>
              </w:rPr>
            </w:pPr>
            <w:r w:rsidRPr="003F6F58">
              <w:rPr>
                <w:rFonts w:ascii="Verdana" w:hAnsi="Verdana"/>
                <w:bCs/>
              </w:rPr>
              <w:t xml:space="preserve">Refer to the </w:t>
            </w:r>
            <w:r w:rsidRPr="003F6F58">
              <w:rPr>
                <w:rFonts w:ascii="Verdana" w:hAnsi="Verdana"/>
                <w:b/>
                <w:bCs/>
              </w:rPr>
              <w:t>Start a Coverage Determination (Prior Authorization or Exception)</w:t>
            </w:r>
            <w:r w:rsidRPr="003F6F58">
              <w:rPr>
                <w:rFonts w:ascii="Verdana" w:hAnsi="Verdana"/>
                <w:bCs/>
              </w:rPr>
              <w:t xml:space="preserve"> section in </w:t>
            </w:r>
            <w:hyperlink r:id="rId40" w:history="1">
              <w:r w:rsidRPr="003D3877">
                <w:rPr>
                  <w:rStyle w:val="Hyperlink"/>
                  <w:rFonts w:ascii="Verdana" w:hAnsi="Verdana"/>
                  <w:bCs/>
                </w:rPr>
                <w:t>Compass - MED D - Coverage Determinations and Redeterminations (Appeals)</w:t>
              </w:r>
            </w:hyperlink>
            <w:r w:rsidRPr="003F6F58">
              <w:rPr>
                <w:rFonts w:ascii="Verdana" w:hAnsi="Verdana"/>
                <w:bCs/>
              </w:rPr>
              <w:t>.</w:t>
            </w:r>
          </w:p>
          <w:p w14:paraId="4165ECB1" w14:textId="7FBB26B6" w:rsidR="003F6F58" w:rsidRPr="003F6F58" w:rsidRDefault="003F6F58" w:rsidP="003F6F58">
            <w:pPr>
              <w:pStyle w:val="style-scope"/>
              <w:numPr>
                <w:ilvl w:val="0"/>
                <w:numId w:val="21"/>
              </w:numPr>
              <w:textAlignment w:val="center"/>
              <w:rPr>
                <w:rFonts w:ascii="Verdana" w:hAnsi="Verdana" w:cs="Symbol"/>
              </w:rPr>
            </w:pPr>
            <w:r w:rsidRPr="003F6F58">
              <w:rPr>
                <w:rFonts w:ascii="Verdana" w:hAnsi="Verdana" w:cs="Symbol"/>
              </w:rPr>
              <w:t>Proceed to</w:t>
            </w:r>
            <w:r w:rsidRPr="003F6F58">
              <w:rPr>
                <w:rFonts w:ascii="Verdana" w:hAnsi="Verdana" w:cs="Symbol"/>
                <w:bCs/>
              </w:rPr>
              <w:t xml:space="preserve"> Transition Fill Process</w:t>
            </w:r>
            <w:r w:rsidRPr="003F6F58">
              <w:rPr>
                <w:rFonts w:ascii="Verdana" w:hAnsi="Verdana" w:cs="Symbol"/>
              </w:rPr>
              <w:t xml:space="preserve"> </w:t>
            </w:r>
            <w:hyperlink w:anchor="TransitionFillProcessStep6" w:history="1">
              <w:r w:rsidR="00CA0EEB" w:rsidRPr="00CA0EEB">
                <w:rPr>
                  <w:rStyle w:val="Hyperlink"/>
                  <w:rFonts w:ascii="Verdana" w:hAnsi="Verdana" w:cs="Symbol"/>
                </w:rPr>
                <w:t>Step 6</w:t>
              </w:r>
            </w:hyperlink>
            <w:r w:rsidRPr="003F6F58">
              <w:rPr>
                <w:rFonts w:ascii="Verdana" w:hAnsi="Verdana" w:cs="Symbol"/>
              </w:rPr>
              <w:t>.</w:t>
            </w:r>
          </w:p>
          <w:p w14:paraId="41C1662D" w14:textId="33669ED6" w:rsidR="003F6F58" w:rsidRPr="003F6F58" w:rsidDel="003F6F58" w:rsidRDefault="003F6F58" w:rsidP="003F6F58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3F6F58" w:rsidRPr="003F6F58" w14:paraId="0C0239C5" w14:textId="77777777" w:rsidTr="003F6F58">
        <w:tc>
          <w:tcPr>
            <w:tcW w:w="6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637F" w14:textId="77777777" w:rsidR="003F6F58" w:rsidRPr="003F6F58" w:rsidRDefault="003F6F58" w:rsidP="003F6F58">
            <w:pPr>
              <w:pStyle w:val="Heading4"/>
              <w:spacing w:before="0" w:after="0"/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</w:pPr>
          </w:p>
        </w:tc>
        <w:tc>
          <w:tcPr>
            <w:tcW w:w="12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37F47" w14:textId="7E3611B9" w:rsidR="003F6F58" w:rsidRPr="003F6F58" w:rsidDel="003F6F58" w:rsidRDefault="003F6F58" w:rsidP="003F6F58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3F6F58">
              <w:rPr>
                <w:rFonts w:ascii="Verdana" w:hAnsi="Verdana"/>
              </w:rPr>
              <w:t>Not paid previously</w:t>
            </w:r>
          </w:p>
        </w:tc>
        <w:tc>
          <w:tcPr>
            <w:tcW w:w="30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2D4B9" w14:textId="4CF92A65" w:rsidR="003F6F58" w:rsidRPr="003F6F58" w:rsidRDefault="003F6F58" w:rsidP="003F6F58">
            <w:pPr>
              <w:rPr>
                <w:rFonts w:ascii="Verdana" w:hAnsi="Verdana" w:cs="Symbol"/>
              </w:rPr>
            </w:pPr>
            <w:r w:rsidRPr="003F6F58">
              <w:rPr>
                <w:rFonts w:ascii="Verdana" w:hAnsi="Verdana"/>
              </w:rPr>
              <w:t xml:space="preserve">Advise the beneficiary to have her/his pharmacy contact the RHD at </w:t>
            </w:r>
            <w:r w:rsidRPr="003F6F58">
              <w:rPr>
                <w:rFonts w:ascii="Verdana" w:hAnsi="Verdana"/>
                <w:b/>
              </w:rPr>
              <w:t>1-866-693-4620</w:t>
            </w:r>
            <w:r w:rsidRPr="003F6F58">
              <w:rPr>
                <w:rFonts w:ascii="Verdana" w:hAnsi="Verdana"/>
              </w:rPr>
              <w:t xml:space="preserve"> </w:t>
            </w:r>
            <w:r w:rsidRPr="003F6F58">
              <w:rPr>
                <w:rFonts w:ascii="Verdana" w:hAnsi="Verdana" w:cs="Symbol"/>
              </w:rPr>
              <w:t xml:space="preserve">and give the override code which was provided in the reject message on the </w:t>
            </w:r>
            <w:r w:rsidRPr="003F6F58">
              <w:rPr>
                <w:rFonts w:ascii="Verdana" w:hAnsi="Verdana" w:cs="Symbol"/>
                <w:b/>
              </w:rPr>
              <w:t xml:space="preserve">Transmission Details </w:t>
            </w:r>
            <w:r w:rsidRPr="003F6F58">
              <w:rPr>
                <w:rFonts w:ascii="Verdana" w:hAnsi="Verdana" w:cs="Symbol"/>
                <w:bCs/>
              </w:rPr>
              <w:t>tab</w:t>
            </w:r>
            <w:r w:rsidRPr="003F6F58">
              <w:rPr>
                <w:rFonts w:ascii="Verdana" w:hAnsi="Verdana" w:cs="Symbol"/>
              </w:rPr>
              <w:t xml:space="preserve"> (Proceed to</w:t>
            </w:r>
            <w:r w:rsidRPr="003F6F58">
              <w:rPr>
                <w:rFonts w:ascii="Verdana" w:hAnsi="Verdana" w:cs="Symbol"/>
                <w:bCs/>
              </w:rPr>
              <w:t xml:space="preserve"> Transition Fill Process</w:t>
            </w:r>
            <w:r w:rsidRPr="003F6F58">
              <w:rPr>
                <w:rFonts w:ascii="Verdana" w:hAnsi="Verdana" w:cs="Symbol"/>
              </w:rPr>
              <w:t xml:space="preserve"> </w:t>
            </w:r>
            <w:hyperlink w:anchor="TransitionFillProcessStep3" w:history="1">
              <w:r w:rsidRPr="00CA0EEB">
                <w:rPr>
                  <w:rStyle w:val="Hyperlink"/>
                  <w:rFonts w:ascii="Verdana" w:hAnsi="Verdana" w:cs="Symbol"/>
                  <w:bCs/>
                </w:rPr>
                <w:t>Step 3</w:t>
              </w:r>
            </w:hyperlink>
            <w:r w:rsidRPr="003F6F58">
              <w:rPr>
                <w:rFonts w:ascii="Verdana" w:hAnsi="Verdana" w:cs="Symbol"/>
              </w:rPr>
              <w:t>).</w:t>
            </w:r>
          </w:p>
          <w:p w14:paraId="598CDCDF" w14:textId="49EB0389" w:rsidR="003F6F58" w:rsidRPr="003F6F58" w:rsidDel="003F6F58" w:rsidRDefault="003F6F58" w:rsidP="003F6F58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AC3F90" w:rsidRPr="003F6F58" w14:paraId="0B7B58F0" w14:textId="77777777" w:rsidTr="003F6F58"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3AA8B" w14:textId="77777777" w:rsidR="002A175B" w:rsidRPr="003F6F58" w:rsidRDefault="002A175B" w:rsidP="003F6F58">
            <w:pPr>
              <w:pStyle w:val="Heading4"/>
              <w:spacing w:before="0" w:after="0"/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</w:pPr>
            <w:r w:rsidRPr="003F6F58"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  <w:t>Transition Fill</w:t>
            </w:r>
          </w:p>
          <w:p w14:paraId="320295E0" w14:textId="26A5AAF3" w:rsidR="00820709" w:rsidRPr="003F6F58" w:rsidRDefault="00820709" w:rsidP="003F6F58">
            <w:pPr>
              <w:pStyle w:val="Heading4"/>
              <w:spacing w:before="0" w:after="0"/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</w:pPr>
            <w:bookmarkStart w:id="37" w:name="_Compound_Meds"/>
            <w:bookmarkEnd w:id="37"/>
            <w:r w:rsidRPr="003F6F58">
              <w:rPr>
                <w:rFonts w:ascii="Verdana" w:eastAsia="Calibri" w:hAnsi="Verdana" w:cs="Arial"/>
                <w:iCs/>
                <w:sz w:val="24"/>
                <w:szCs w:val="24"/>
              </w:rPr>
              <w:t>Compound Meds</w:t>
            </w:r>
          </w:p>
        </w:tc>
        <w:tc>
          <w:tcPr>
            <w:tcW w:w="4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C8420" w14:textId="7E8DAC22" w:rsidR="00121ABC" w:rsidRPr="003F6F58" w:rsidRDefault="00121ABC" w:rsidP="003F6F58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3F6F58">
              <w:rPr>
                <w:rFonts w:ascii="Verdana" w:eastAsia="Calibri" w:hAnsi="Verdana" w:cs="Arial"/>
                <w:color w:val="000000"/>
              </w:rPr>
              <w:t xml:space="preserve">Refer to </w:t>
            </w:r>
            <w:hyperlink r:id="rId41" w:history="1">
              <w:r w:rsidRPr="003F6F58">
                <w:rPr>
                  <w:rStyle w:val="Hyperlink"/>
                  <w:rFonts w:ascii="Verdana" w:eastAsia="Calibri" w:hAnsi="Verdana" w:cs="Arial"/>
                </w:rPr>
                <w:t>Compass - Handling Compound Calls – Care</w:t>
              </w:r>
            </w:hyperlink>
            <w:r w:rsidR="003F6F58" w:rsidRPr="003F6F58">
              <w:rPr>
                <w:rFonts w:ascii="Verdana" w:eastAsia="Calibri" w:hAnsi="Verdana" w:cs="Arial"/>
                <w:color w:val="000000"/>
              </w:rPr>
              <w:t>.</w:t>
            </w:r>
          </w:p>
          <w:p w14:paraId="34A5799F" w14:textId="77777777" w:rsidR="00121ABC" w:rsidRPr="003F6F58" w:rsidRDefault="00121ABC" w:rsidP="003F6F58">
            <w:p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</w:p>
          <w:p w14:paraId="4B3792DE" w14:textId="730EFB9C" w:rsidR="00E6552D" w:rsidRPr="003F6F58" w:rsidRDefault="00121ABC" w:rsidP="003F6F58">
            <w:pPr>
              <w:numPr>
                <w:ilvl w:val="0"/>
                <w:numId w:val="53"/>
              </w:numPr>
              <w:autoSpaceDE w:val="0"/>
              <w:autoSpaceDN w:val="0"/>
              <w:adjustRightInd w:val="0"/>
              <w:rPr>
                <w:rFonts w:ascii="Verdana" w:hAnsi="Verdana" w:cs="Arial"/>
              </w:rPr>
            </w:pPr>
            <w:r w:rsidRPr="003F6F58">
              <w:rPr>
                <w:rFonts w:ascii="Verdana" w:hAnsi="Verdana" w:cs="Arial"/>
              </w:rPr>
              <w:t>If one ingredient in a compound drug is not a formulary drug or requires a Coverage Determination, then the drug may fill as a Transition Fill.</w:t>
            </w:r>
            <w:r w:rsidR="00E6552D" w:rsidRPr="003F6F58">
              <w:rPr>
                <w:rFonts w:ascii="Verdana" w:hAnsi="Verdana" w:cs="Arial"/>
              </w:rPr>
              <w:t xml:space="preserve"> </w:t>
            </w:r>
            <w:r w:rsidR="00E6552D" w:rsidRPr="003F6F58">
              <w:rPr>
                <w:rFonts w:ascii="Verdana" w:hAnsi="Verdana"/>
              </w:rPr>
              <w:t xml:space="preserve">Refer to </w:t>
            </w:r>
            <w:hyperlink r:id="rId42" w:history="1">
              <w:r w:rsidR="003F6F58" w:rsidRPr="003D3877">
                <w:rPr>
                  <w:rStyle w:val="Hyperlink"/>
                  <w:rFonts w:ascii="Verdana" w:hAnsi="Verdana"/>
                </w:rPr>
                <w:t>Compass MED D - Coverage Determinations and Redeterminations (Appeals)</w:t>
              </w:r>
            </w:hyperlink>
            <w:r w:rsidR="00E6552D" w:rsidRPr="003F6F58">
              <w:rPr>
                <w:rFonts w:ascii="Verdana" w:hAnsi="Verdana"/>
              </w:rPr>
              <w:t xml:space="preserve"> if needed.</w:t>
            </w:r>
          </w:p>
          <w:p w14:paraId="083CC6CD" w14:textId="77777777" w:rsidR="003F6F58" w:rsidRPr="003F6F58" w:rsidRDefault="003F6F58" w:rsidP="003F6F58">
            <w:pPr>
              <w:rPr>
                <w:rFonts w:ascii="Verdana" w:eastAsia="Calibri" w:hAnsi="Verdana" w:cs="Arial"/>
              </w:rPr>
            </w:pPr>
          </w:p>
          <w:p w14:paraId="54B20CBF" w14:textId="6A5DE7B5" w:rsidR="00BA1367" w:rsidRPr="003F6F58" w:rsidRDefault="00BA1367" w:rsidP="003F6F58">
            <w:pPr>
              <w:pStyle w:val="style-scope"/>
              <w:spacing w:before="0" w:beforeAutospacing="0" w:after="0" w:afterAutospacing="0"/>
              <w:textAlignment w:val="center"/>
              <w:rPr>
                <w:rFonts w:ascii="Verdana" w:eastAsia="Calibri" w:hAnsi="Verdana" w:cs="Symbol"/>
              </w:rPr>
            </w:pPr>
            <w:bookmarkStart w:id="38" w:name="OLE_LINK47"/>
            <w:r w:rsidRPr="003F6F58">
              <w:rPr>
                <w:rFonts w:ascii="Verdana" w:eastAsia="Calibri" w:hAnsi="Verdana" w:cs="Symbol"/>
              </w:rPr>
              <w:t>Proceed to</w:t>
            </w:r>
            <w:r w:rsidRPr="003F6F58">
              <w:rPr>
                <w:rFonts w:ascii="Verdana" w:eastAsia="Calibri" w:hAnsi="Verdana" w:cs="Symbol"/>
                <w:bCs/>
              </w:rPr>
              <w:t xml:space="preserve"> Transition Fill Process</w:t>
            </w:r>
            <w:r w:rsidRPr="003F6F58">
              <w:rPr>
                <w:rFonts w:ascii="Verdana" w:eastAsia="Calibri" w:hAnsi="Verdana" w:cs="Symbol"/>
              </w:rPr>
              <w:t xml:space="preserve"> </w:t>
            </w:r>
            <w:hyperlink w:anchor="TransitionFillProcessStep6" w:history="1">
              <w:r w:rsidRPr="00CA0EEB">
                <w:rPr>
                  <w:rStyle w:val="Hyperlink"/>
                  <w:rFonts w:ascii="Verdana" w:eastAsia="Calibri" w:hAnsi="Verdana" w:cs="Symbol"/>
                  <w:bCs/>
                </w:rPr>
                <w:t xml:space="preserve">Step </w:t>
              </w:r>
              <w:r w:rsidR="00276E81" w:rsidRPr="00CA0EEB">
                <w:rPr>
                  <w:rStyle w:val="Hyperlink"/>
                  <w:rFonts w:ascii="Verdana" w:eastAsia="Calibri" w:hAnsi="Verdana" w:cs="Symbol"/>
                  <w:bCs/>
                </w:rPr>
                <w:t>6</w:t>
              </w:r>
            </w:hyperlink>
            <w:r w:rsidRPr="003F6F58">
              <w:rPr>
                <w:rFonts w:ascii="Verdana" w:eastAsia="Calibri" w:hAnsi="Verdana" w:cs="Symbol"/>
              </w:rPr>
              <w:t>.</w:t>
            </w:r>
            <w:bookmarkEnd w:id="38"/>
          </w:p>
          <w:p w14:paraId="4D9FEE07" w14:textId="77777777" w:rsidR="00BA1367" w:rsidRPr="003F6F58" w:rsidRDefault="00BA1367">
            <w:pPr>
              <w:pStyle w:val="style-scope"/>
              <w:textAlignment w:val="center"/>
              <w:rPr>
                <w:rFonts w:ascii="Verdana" w:eastAsia="Calibri" w:hAnsi="Verdana" w:cs="Symbol"/>
              </w:rPr>
            </w:pPr>
          </w:p>
        </w:tc>
      </w:tr>
      <w:tr w:rsidR="00AC3F90" w:rsidRPr="003F6F58" w14:paraId="6534F218" w14:textId="77777777" w:rsidTr="003F6F58"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FB33A" w14:textId="77777777" w:rsidR="002A175B" w:rsidRPr="003F6F58" w:rsidRDefault="00AC3F90" w:rsidP="003F6F58">
            <w:pPr>
              <w:pStyle w:val="Heading4"/>
              <w:spacing w:before="0" w:after="0"/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</w:pPr>
            <w:bookmarkStart w:id="39" w:name="OLE_LINK57"/>
            <w:r w:rsidRPr="003F6F58"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  <w:t>Transition Fill</w:t>
            </w:r>
          </w:p>
          <w:p w14:paraId="735B68D9" w14:textId="77777777" w:rsidR="00AC3F90" w:rsidRPr="003F6F58" w:rsidRDefault="00AC3F90" w:rsidP="003F6F58">
            <w:pPr>
              <w:pStyle w:val="Heading4"/>
              <w:spacing w:before="0" w:after="0"/>
              <w:rPr>
                <w:rFonts w:ascii="Verdana" w:eastAsia="Calibri" w:hAnsi="Verdana" w:cs="Arial"/>
                <w:b w:val="0"/>
                <w:bCs w:val="0"/>
                <w:iCs/>
                <w:sz w:val="24"/>
                <w:szCs w:val="24"/>
              </w:rPr>
            </w:pPr>
            <w:bookmarkStart w:id="40" w:name="_LTC_Beneficiaries"/>
            <w:bookmarkEnd w:id="39"/>
            <w:bookmarkEnd w:id="40"/>
            <w:r w:rsidRPr="003F6F58">
              <w:rPr>
                <w:rFonts w:ascii="Verdana" w:eastAsia="Calibri" w:hAnsi="Verdana" w:cs="Arial"/>
                <w:iCs/>
                <w:sz w:val="24"/>
                <w:szCs w:val="24"/>
              </w:rPr>
              <w:t>LTC Beneficiaries</w:t>
            </w:r>
          </w:p>
        </w:tc>
        <w:tc>
          <w:tcPr>
            <w:tcW w:w="4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23031" w14:textId="2B354A85" w:rsidR="00AC3F90" w:rsidRDefault="00AC3F90" w:rsidP="00AC3F90">
            <w:pPr>
              <w:rPr>
                <w:rFonts w:ascii="Verdana" w:eastAsia="Calibri" w:hAnsi="Verdana" w:cs="Arial"/>
              </w:rPr>
            </w:pPr>
            <w:r w:rsidRPr="003F6F58">
              <w:rPr>
                <w:rFonts w:ascii="Verdana" w:eastAsia="Calibri" w:hAnsi="Verdana" w:cs="Arial"/>
              </w:rPr>
              <w:t>When a beneficiary is in a LTC facility, the call for a transition fill will come from the LTC Pharmacy.</w:t>
            </w:r>
          </w:p>
          <w:p w14:paraId="36789267" w14:textId="77777777" w:rsidR="003D3877" w:rsidRPr="003F6F58" w:rsidRDefault="003D3877" w:rsidP="00AC3F90">
            <w:pPr>
              <w:rPr>
                <w:rFonts w:ascii="Verdana" w:eastAsia="Calibri" w:hAnsi="Verdana" w:cs="Arial"/>
              </w:rPr>
            </w:pPr>
          </w:p>
          <w:p w14:paraId="5E8F75E1" w14:textId="77777777" w:rsidR="00AC3F90" w:rsidRPr="003F6F58" w:rsidRDefault="00AC3F90" w:rsidP="00AC3F90">
            <w:pPr>
              <w:rPr>
                <w:rFonts w:ascii="Verdana" w:eastAsia="Calibri" w:hAnsi="Verdana" w:cs="Symbol"/>
              </w:rPr>
            </w:pPr>
            <w:r w:rsidRPr="003F6F58">
              <w:rPr>
                <w:rFonts w:ascii="Verdana" w:eastAsia="Calibri" w:hAnsi="Verdana" w:cs="Arial"/>
              </w:rPr>
              <w:t xml:space="preserve">In this case, the CCR will transfer the LTC pharmacy representative to the RHD at </w:t>
            </w:r>
            <w:r w:rsidRPr="003F6F58">
              <w:rPr>
                <w:rFonts w:ascii="Verdana" w:eastAsia="Calibri" w:hAnsi="Verdana" w:cs="Arial"/>
                <w:b/>
              </w:rPr>
              <w:t>1-866-693-4620</w:t>
            </w:r>
            <w:r w:rsidRPr="003F6F58">
              <w:rPr>
                <w:rFonts w:ascii="Verdana" w:eastAsia="Calibri" w:hAnsi="Verdana" w:cs="Symbol"/>
              </w:rPr>
              <w:t>.</w:t>
            </w:r>
          </w:p>
          <w:p w14:paraId="40AA2DC7" w14:textId="77777777" w:rsidR="00AC3F90" w:rsidRPr="003F6F58" w:rsidRDefault="00AC3F90" w:rsidP="00AC3F90">
            <w:pPr>
              <w:rPr>
                <w:rFonts w:ascii="Verdana" w:eastAsia="Calibri" w:hAnsi="Verdana" w:cs="Symbol"/>
              </w:rPr>
            </w:pPr>
          </w:p>
          <w:p w14:paraId="5BAAFA7E" w14:textId="77777777" w:rsidR="00AC3F90" w:rsidRPr="003F6F58" w:rsidRDefault="00AC3F90" w:rsidP="00AC3F90">
            <w:pPr>
              <w:rPr>
                <w:rFonts w:ascii="Verdana" w:eastAsia="Calibri" w:hAnsi="Verdana" w:cs="Symbol"/>
              </w:rPr>
            </w:pPr>
            <w:r w:rsidRPr="003F6F58">
              <w:rPr>
                <w:rFonts w:ascii="Verdana" w:eastAsia="Calibri" w:hAnsi="Verdana" w:cs="Symbol"/>
                <w:b/>
              </w:rPr>
              <w:t xml:space="preserve">Note:  </w:t>
            </w:r>
            <w:r w:rsidRPr="003F6F58">
              <w:rPr>
                <w:rFonts w:ascii="Verdana" w:eastAsia="Calibri" w:hAnsi="Verdana" w:cs="Symbol"/>
              </w:rPr>
              <w:t>LTC transition fills are allowed multiple fills up to a 31-day supply per medication during the first 90 days of a beneficiary’s enrollment. Brand oral solids supply may be limited per fill according to the pharmacy agreement with the LTC, others a 31-day supply per fill.</w:t>
            </w:r>
            <w:r w:rsidRPr="003F6F58">
              <w:rPr>
                <w:rFonts w:ascii="Verdana" w:eastAsia="Calibri" w:hAnsi="Verdana" w:cs="Arial"/>
              </w:rPr>
              <w:t xml:space="preserve"> </w:t>
            </w:r>
          </w:p>
          <w:p w14:paraId="49588D63" w14:textId="77777777" w:rsidR="00AC3F90" w:rsidRPr="003F6F58" w:rsidRDefault="00AC3F90">
            <w:pPr>
              <w:autoSpaceDE w:val="0"/>
              <w:autoSpaceDN w:val="0"/>
              <w:adjustRightInd w:val="0"/>
              <w:rPr>
                <w:rFonts w:ascii="Verdana" w:eastAsia="Calibri" w:hAnsi="Verdana" w:cs="Arial"/>
                <w:color w:val="000000"/>
              </w:rPr>
            </w:pPr>
          </w:p>
        </w:tc>
      </w:tr>
    </w:tbl>
    <w:p w14:paraId="7E0CB70E" w14:textId="77777777" w:rsidR="00820709" w:rsidRDefault="00820709" w:rsidP="008167F0">
      <w:pPr>
        <w:jc w:val="right"/>
        <w:rPr>
          <w:rFonts w:ascii="Verdana" w:hAnsi="Verdana"/>
        </w:rPr>
      </w:pPr>
    </w:p>
    <w:p w14:paraId="48D790C4" w14:textId="77777777" w:rsidR="002A24A2" w:rsidRPr="000B6501" w:rsidRDefault="004861BB" w:rsidP="008167F0">
      <w:pPr>
        <w:jc w:val="right"/>
        <w:rPr>
          <w:rFonts w:ascii="Verdana" w:hAnsi="Verdana"/>
        </w:rPr>
      </w:pPr>
      <w:hyperlink w:anchor="_top" w:history="1">
        <w:r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A24A2" w:rsidRPr="008167F0" w14:paraId="05DB2C1E" w14:textId="77777777" w:rsidTr="002A24A2">
        <w:tc>
          <w:tcPr>
            <w:tcW w:w="5000" w:type="pct"/>
            <w:shd w:val="clear" w:color="auto" w:fill="C0C0C0"/>
          </w:tcPr>
          <w:p w14:paraId="10D992A3" w14:textId="77777777" w:rsidR="002A24A2" w:rsidRPr="00121E7C" w:rsidRDefault="002A24A2" w:rsidP="00121E7C">
            <w:pPr>
              <w:pStyle w:val="Heading2"/>
              <w:rPr>
                <w:rFonts w:ascii="Verdana" w:hAnsi="Verdana"/>
                <w:i w:val="0"/>
              </w:rPr>
            </w:pPr>
            <w:bookmarkStart w:id="41" w:name="_Toc149848635"/>
            <w:r w:rsidRPr="00121E7C">
              <w:rPr>
                <w:rFonts w:ascii="Verdana" w:hAnsi="Verdana"/>
                <w:i w:val="0"/>
              </w:rPr>
              <w:t>FAQs</w:t>
            </w:r>
            <w:bookmarkEnd w:id="41"/>
          </w:p>
        </w:tc>
      </w:tr>
    </w:tbl>
    <w:p w14:paraId="44383784" w14:textId="77777777" w:rsidR="00723C95" w:rsidRDefault="00723C95" w:rsidP="008167F0">
      <w:pPr>
        <w:textAlignment w:val="top"/>
        <w:rPr>
          <w:rFonts w:ascii="Verdana" w:hAnsi="Verdana" w:cs="Arial"/>
          <w:bCs/>
        </w:rPr>
      </w:pPr>
    </w:p>
    <w:p w14:paraId="3BB69AC5" w14:textId="77777777" w:rsidR="002A24A2" w:rsidRPr="000B6501" w:rsidRDefault="002A24A2" w:rsidP="008167F0">
      <w:pPr>
        <w:textAlignment w:val="top"/>
        <w:rPr>
          <w:rFonts w:ascii="Verdana" w:hAnsi="Verdana" w:cs="Arial"/>
          <w:bCs/>
        </w:rPr>
      </w:pPr>
      <w:r w:rsidRPr="000B6501">
        <w:rPr>
          <w:rFonts w:ascii="Verdana" w:hAnsi="Verdana" w:cs="Arial"/>
          <w:bCs/>
        </w:rPr>
        <w:t>The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CCR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will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use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the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table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of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Frequently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Asked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Questions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below</w:t>
      </w:r>
      <w:r w:rsidR="001701B1" w:rsidRPr="000B6501">
        <w:rPr>
          <w:rFonts w:ascii="Verdana" w:hAnsi="Verdana" w:cs="Arial"/>
          <w:bCs/>
        </w:rPr>
        <w:t xml:space="preserve"> </w:t>
      </w:r>
      <w:proofErr w:type="gramStart"/>
      <w:r w:rsidRPr="000B6501">
        <w:rPr>
          <w:rFonts w:ascii="Verdana" w:hAnsi="Verdana" w:cs="Arial"/>
          <w:bCs/>
        </w:rPr>
        <w:t>in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order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to</w:t>
      </w:r>
      <w:proofErr w:type="gramEnd"/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address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questions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from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the</w:t>
      </w:r>
      <w:r w:rsidR="001701B1" w:rsidRPr="000B6501">
        <w:rPr>
          <w:rFonts w:ascii="Verdana" w:hAnsi="Verdana" w:cs="Arial"/>
          <w:bCs/>
        </w:rPr>
        <w:t xml:space="preserve"> </w:t>
      </w:r>
      <w:r w:rsidRPr="000B6501">
        <w:rPr>
          <w:rFonts w:ascii="Verdana" w:hAnsi="Verdana" w:cs="Arial"/>
          <w:bCs/>
        </w:rPr>
        <w:t>beneficiary.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4"/>
        <w:gridCol w:w="9956"/>
      </w:tblGrid>
      <w:tr w:rsidR="00121E7C" w:rsidRPr="000B6501" w14:paraId="11816E18" w14:textId="77777777" w:rsidTr="00CA0EEB">
        <w:tc>
          <w:tcPr>
            <w:tcW w:w="1156" w:type="pct"/>
            <w:shd w:val="pct10" w:color="auto" w:fill="auto"/>
          </w:tcPr>
          <w:p w14:paraId="675C4CE8" w14:textId="77777777" w:rsidR="002A24A2" w:rsidRPr="000B6501" w:rsidRDefault="002A24A2" w:rsidP="008167F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B6501">
              <w:rPr>
                <w:rFonts w:ascii="Verdana" w:hAnsi="Verdana" w:cs="Arial"/>
                <w:b/>
                <w:bCs/>
              </w:rPr>
              <w:t>Question</w:t>
            </w:r>
            <w:r w:rsidR="001701B1" w:rsidRPr="000B6501">
              <w:rPr>
                <w:rFonts w:ascii="Verdana" w:hAnsi="Verdana" w:cs="Arial"/>
                <w:b/>
                <w:bCs/>
              </w:rPr>
              <w:t xml:space="preserve"> </w:t>
            </w:r>
          </w:p>
        </w:tc>
        <w:tc>
          <w:tcPr>
            <w:tcW w:w="3844" w:type="pct"/>
            <w:shd w:val="pct10" w:color="auto" w:fill="auto"/>
          </w:tcPr>
          <w:p w14:paraId="5AFF5C36" w14:textId="77777777" w:rsidR="002A24A2" w:rsidRPr="000B6501" w:rsidRDefault="002A24A2" w:rsidP="008167F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0B6501">
              <w:rPr>
                <w:rFonts w:ascii="Verdana" w:hAnsi="Verdana" w:cs="Arial"/>
                <w:b/>
                <w:bCs/>
              </w:rPr>
              <w:t>Answer</w:t>
            </w:r>
          </w:p>
        </w:tc>
      </w:tr>
      <w:tr w:rsidR="002A24A2" w:rsidRPr="000B6501" w14:paraId="601583FC" w14:textId="77777777" w:rsidTr="00CA0EEB">
        <w:tc>
          <w:tcPr>
            <w:tcW w:w="1156" w:type="pct"/>
          </w:tcPr>
          <w:p w14:paraId="2D694678" w14:textId="77777777" w:rsidR="002A24A2" w:rsidRPr="000B6501" w:rsidRDefault="002A24A2" w:rsidP="001807A9">
            <w:p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beneficiary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states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955969" w:rsidRPr="000B6501">
              <w:rPr>
                <w:rFonts w:ascii="Verdana" w:hAnsi="Verdana"/>
                <w:b/>
                <w:bCs/>
              </w:rPr>
              <w:t>s/he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received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similar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letter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last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proofErr w:type="gramStart"/>
            <w:r w:rsidRPr="000B6501">
              <w:rPr>
                <w:rFonts w:ascii="Verdana" w:hAnsi="Verdana"/>
                <w:b/>
                <w:bCs/>
              </w:rPr>
              <w:t>year</w:t>
            </w:r>
            <w:proofErr w:type="gramEnd"/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but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nothing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happened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and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955969" w:rsidRPr="000B6501">
              <w:rPr>
                <w:rFonts w:ascii="Verdana" w:hAnsi="Verdana"/>
                <w:b/>
                <w:bCs/>
              </w:rPr>
              <w:t>s/he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955969" w:rsidRPr="000B6501">
              <w:rPr>
                <w:rFonts w:ascii="Verdana" w:hAnsi="Verdana"/>
                <w:b/>
                <w:bCs/>
              </w:rPr>
              <w:t>was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able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to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receive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955969" w:rsidRPr="000B6501">
              <w:rPr>
                <w:rFonts w:ascii="Verdana" w:hAnsi="Verdana"/>
                <w:b/>
                <w:bCs/>
              </w:rPr>
              <w:t>her/his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medications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without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having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to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take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any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action.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3844" w:type="pct"/>
          </w:tcPr>
          <w:p w14:paraId="3AC12277" w14:textId="210FD381" w:rsidR="002A24A2" w:rsidRPr="000B6501" w:rsidRDefault="00C20F93" w:rsidP="008167F0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8EC41AE" wp14:editId="6E6E85CC">
                  <wp:extent cx="239395" cy="210820"/>
                  <wp:effectExtent l="0" t="0" r="0" b="0"/>
                  <wp:docPr id="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5403E7" w14:textId="77777777" w:rsidR="002A24A2" w:rsidRPr="000B6501" w:rsidRDefault="002A24A2" w:rsidP="00474631">
            <w:pPr>
              <w:numPr>
                <w:ilvl w:val="0"/>
                <w:numId w:val="33"/>
              </w:num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</w:rPr>
              <w:t>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quite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possible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experience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due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edits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made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within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formulary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7B047E" w:rsidRPr="000B6501">
              <w:rPr>
                <w:rFonts w:ascii="Verdana" w:hAnsi="Verdana"/>
              </w:rPr>
              <w:t>last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7B047E" w:rsidRPr="000B6501">
              <w:rPr>
                <w:rFonts w:ascii="Verdana" w:hAnsi="Verdana"/>
              </w:rPr>
              <w:t>year</w:t>
            </w:r>
            <w:r w:rsidR="0069416B" w:rsidRPr="000B6501">
              <w:rPr>
                <w:rFonts w:ascii="Verdana" w:hAnsi="Verdana"/>
              </w:rPr>
              <w:t>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which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may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allowed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these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medications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pay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without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9416B" w:rsidRPr="000B6501">
              <w:rPr>
                <w:rFonts w:ascii="Verdana" w:hAnsi="Verdana"/>
              </w:rPr>
              <w:t>limitations.</w:t>
            </w:r>
          </w:p>
          <w:p w14:paraId="18267223" w14:textId="77777777" w:rsidR="002A24A2" w:rsidRPr="000B6501" w:rsidRDefault="002A24A2" w:rsidP="00474631">
            <w:pPr>
              <w:numPr>
                <w:ilvl w:val="0"/>
                <w:numId w:val="33"/>
              </w:num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</w:rPr>
              <w:t>However,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letter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received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year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does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require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part.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15F56B8E" w14:textId="77777777" w:rsidR="00CF17A0" w:rsidRPr="000B6501" w:rsidRDefault="00CF17A0" w:rsidP="008167F0">
            <w:pPr>
              <w:textAlignment w:val="top"/>
              <w:rPr>
                <w:rFonts w:ascii="Verdana" w:hAnsi="Verdana"/>
              </w:rPr>
            </w:pPr>
          </w:p>
          <w:p w14:paraId="032BDAF7" w14:textId="77777777" w:rsidR="00CF17A0" w:rsidRPr="000B6501" w:rsidRDefault="00CF17A0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CCR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Process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Note: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  <w:p w14:paraId="447BE7EF" w14:textId="60791684" w:rsidR="00CF17A0" w:rsidRDefault="00CF17A0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following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sections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address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specific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questions: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2061A33E" w14:textId="05A81661" w:rsidR="003D3877" w:rsidRDefault="003D3877" w:rsidP="003D3877">
            <w:pPr>
              <w:pStyle w:val="NormalWeb"/>
              <w:numPr>
                <w:ilvl w:val="0"/>
                <w:numId w:val="60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Transition_Fills_(Non-formulary" w:history="1">
              <w:r>
                <w:rPr>
                  <w:rStyle w:val="Hyperlink"/>
                  <w:rFonts w:ascii="Verdana" w:hAnsi="Verdana"/>
                </w:rPr>
                <w:t>Transition Fill Process</w:t>
              </w:r>
            </w:hyperlink>
          </w:p>
          <w:p w14:paraId="01AEB5F8" w14:textId="2F3F5E8B" w:rsidR="003D3877" w:rsidRDefault="003D3877" w:rsidP="003D3877">
            <w:pPr>
              <w:pStyle w:val="NormalWeb"/>
              <w:numPr>
                <w:ilvl w:val="0"/>
                <w:numId w:val="60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PA_and_Step" w:history="1">
              <w:r>
                <w:rPr>
                  <w:rStyle w:val="Hyperlink"/>
                  <w:rFonts w:ascii="Verdana" w:hAnsi="Verdana"/>
                </w:rPr>
                <w:t>Transition Fill Scenario Guide - PA and Step Therapy Meds</w:t>
              </w:r>
            </w:hyperlink>
          </w:p>
          <w:p w14:paraId="0368A968" w14:textId="262ECC0E" w:rsidR="003D3877" w:rsidRDefault="003D3877" w:rsidP="003D3877">
            <w:pPr>
              <w:pStyle w:val="NormalWeb"/>
              <w:numPr>
                <w:ilvl w:val="0"/>
                <w:numId w:val="60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Compound_Meds" w:history="1">
              <w:r w:rsidRPr="003D3877">
                <w:rPr>
                  <w:rStyle w:val="Hyperlink"/>
                  <w:rFonts w:ascii="Verdana" w:hAnsi="Verdana"/>
                </w:rPr>
                <w:t>Transition Fill Scenario Guide - Compound Meds</w:t>
              </w:r>
            </w:hyperlink>
          </w:p>
          <w:p w14:paraId="6C570C86" w14:textId="1A10C124" w:rsidR="003D3877" w:rsidRPr="000B6501" w:rsidRDefault="003D3877" w:rsidP="003D3877">
            <w:pPr>
              <w:pStyle w:val="NormalWeb"/>
              <w:numPr>
                <w:ilvl w:val="0"/>
                <w:numId w:val="60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LTC_Beneficiaries" w:history="1">
              <w:r w:rsidRPr="003D3877">
                <w:rPr>
                  <w:rStyle w:val="Hyperlink"/>
                  <w:rFonts w:ascii="Verdana" w:hAnsi="Verdana"/>
                </w:rPr>
                <w:t>Transition Fill Scenario Guide - LTC Beneficiaries</w:t>
              </w:r>
            </w:hyperlink>
          </w:p>
          <w:p w14:paraId="6B34B520" w14:textId="77777777" w:rsidR="000B6501" w:rsidRPr="000B6501" w:rsidRDefault="000B6501" w:rsidP="003D3877">
            <w:pPr>
              <w:ind w:left="7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2A24A2" w:rsidRPr="000B6501" w14:paraId="31E3E58E" w14:textId="77777777" w:rsidTr="00CA0EEB">
        <w:tc>
          <w:tcPr>
            <w:tcW w:w="1156" w:type="pct"/>
          </w:tcPr>
          <w:p w14:paraId="34754206" w14:textId="77777777" w:rsidR="002A24A2" w:rsidRPr="000B6501" w:rsidRDefault="002A24A2" w:rsidP="008167F0">
            <w:p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beneficiary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proofErr w:type="gramStart"/>
            <w:r w:rsidRPr="000B6501">
              <w:rPr>
                <w:rFonts w:ascii="Verdana" w:hAnsi="Verdana"/>
                <w:b/>
                <w:bCs/>
              </w:rPr>
              <w:t>asks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proofErr w:type="gramEnd"/>
            <w:r w:rsidRPr="000B6501">
              <w:rPr>
                <w:rFonts w:ascii="Verdana" w:hAnsi="Verdana"/>
                <w:b/>
                <w:bCs/>
              </w:rPr>
              <w:t>What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happens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if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ignore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this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letter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and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don’t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act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it?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3844" w:type="pct"/>
          </w:tcPr>
          <w:p w14:paraId="1172B41A" w14:textId="78B49AD9" w:rsidR="002A24A2" w:rsidRPr="000B6501" w:rsidRDefault="00C20F93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AA08986" wp14:editId="0CBAE374">
                  <wp:extent cx="239395" cy="210820"/>
                  <wp:effectExtent l="0" t="0" r="0" b="0"/>
                  <wp:docPr id="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40DB4" w14:textId="77777777" w:rsidR="0069416B" w:rsidRPr="000B6501" w:rsidRDefault="005B0F1B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proofErr w:type="gramStart"/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order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proofErr w:type="gramEnd"/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ensure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utilizing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benefits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properly,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importan</w:t>
            </w:r>
            <w:r w:rsidRPr="000B6501">
              <w:rPr>
                <w:rFonts w:ascii="Verdana" w:hAnsi="Verdana"/>
              </w:rPr>
              <w:t>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respond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accordingly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proofErr w:type="gramStart"/>
            <w:r w:rsidR="002A24A2" w:rsidRPr="000B6501">
              <w:rPr>
                <w:rFonts w:ascii="Verdana" w:hAnsi="Verdana"/>
              </w:rPr>
              <w:t>direction</w:t>
            </w:r>
            <w:proofErr w:type="gramEnd"/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letter.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173E9E71" w14:textId="77777777" w:rsidR="002A24A2" w:rsidRPr="000B6501" w:rsidRDefault="0069416B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Subsequent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same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not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paid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58566A" w:rsidRPr="000B6501">
              <w:rPr>
                <w:rFonts w:ascii="Verdana" w:hAnsi="Verdana"/>
              </w:rPr>
              <w:t>your Medicare Part D 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not</w:t>
            </w:r>
            <w:r w:rsidR="001701B1" w:rsidRPr="000B6501">
              <w:rPr>
                <w:rFonts w:ascii="Verdana" w:hAnsi="Verdana"/>
              </w:rPr>
              <w:t xml:space="preserve"> </w:t>
            </w:r>
            <w:proofErr w:type="gramStart"/>
            <w:r w:rsidRPr="000B6501">
              <w:rPr>
                <w:rFonts w:ascii="Verdana" w:hAnsi="Verdana"/>
              </w:rPr>
              <w:t>take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action</w:t>
            </w:r>
            <w:proofErr w:type="gramEnd"/>
            <w:r w:rsidRPr="000B6501">
              <w:rPr>
                <w:rFonts w:ascii="Verdana" w:hAnsi="Verdana"/>
              </w:rPr>
              <w:t>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585105D4" w14:textId="77777777" w:rsidR="005B0F1B" w:rsidRPr="000B6501" w:rsidRDefault="005B0F1B" w:rsidP="008167F0">
            <w:pPr>
              <w:textAlignment w:val="top"/>
              <w:rPr>
                <w:rFonts w:ascii="Verdana" w:hAnsi="Verdana"/>
              </w:rPr>
            </w:pPr>
          </w:p>
          <w:p w14:paraId="3759795F" w14:textId="77777777" w:rsidR="00CF17A0" w:rsidRPr="000B6501" w:rsidRDefault="00CF17A0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CCR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Process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Note: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  <w:p w14:paraId="7E9205CD" w14:textId="70C3D973" w:rsidR="00CF17A0" w:rsidRDefault="00CF17A0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following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sections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document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address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specific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questions: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247A0D4F" w14:textId="4E28F952" w:rsidR="003D3877" w:rsidRDefault="003D3877" w:rsidP="003D3877">
            <w:pPr>
              <w:pStyle w:val="NormalWeb"/>
              <w:numPr>
                <w:ilvl w:val="0"/>
                <w:numId w:val="61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Transition_Fills_(Non-formulary" w:history="1">
              <w:r w:rsidRPr="003D3877">
                <w:rPr>
                  <w:rStyle w:val="Hyperlink"/>
                  <w:rFonts w:ascii="Verdana" w:hAnsi="Verdana"/>
                </w:rPr>
                <w:t>Transition Fill Process</w:t>
              </w:r>
            </w:hyperlink>
          </w:p>
          <w:p w14:paraId="14F19E1A" w14:textId="5E3DA5BE" w:rsidR="003D3877" w:rsidRDefault="003D3877" w:rsidP="003D3877">
            <w:pPr>
              <w:pStyle w:val="NormalWeb"/>
              <w:numPr>
                <w:ilvl w:val="0"/>
                <w:numId w:val="61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PA_and_Step" w:history="1">
              <w:r w:rsidRPr="003D3877">
                <w:rPr>
                  <w:rStyle w:val="Hyperlink"/>
                  <w:rFonts w:ascii="Verdana" w:hAnsi="Verdana"/>
                </w:rPr>
                <w:t>Transition Fill Scenario Guide - PA and Step Therapy Meds</w:t>
              </w:r>
            </w:hyperlink>
          </w:p>
          <w:p w14:paraId="7E0C511F" w14:textId="105537EA" w:rsidR="003D3877" w:rsidRDefault="003D3877" w:rsidP="003D3877">
            <w:pPr>
              <w:pStyle w:val="NormalWeb"/>
              <w:numPr>
                <w:ilvl w:val="0"/>
                <w:numId w:val="61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Compound_Meds" w:history="1">
              <w:r w:rsidRPr="003D3877">
                <w:rPr>
                  <w:rStyle w:val="Hyperlink"/>
                  <w:rFonts w:ascii="Verdana" w:hAnsi="Verdana"/>
                </w:rPr>
                <w:t>Transition Fill Scenario Guide - Compound Meds</w:t>
              </w:r>
            </w:hyperlink>
          </w:p>
          <w:p w14:paraId="304ED8D0" w14:textId="79D4506E" w:rsidR="003D3877" w:rsidRPr="000B6501" w:rsidRDefault="003D3877" w:rsidP="003D3877">
            <w:pPr>
              <w:pStyle w:val="NormalWeb"/>
              <w:numPr>
                <w:ilvl w:val="0"/>
                <w:numId w:val="61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LTC_Beneficiaries" w:history="1">
              <w:r w:rsidRPr="003D3877">
                <w:rPr>
                  <w:rStyle w:val="Hyperlink"/>
                  <w:rFonts w:ascii="Verdana" w:hAnsi="Verdana"/>
                </w:rPr>
                <w:t>Transition Fill Scenario Guide - LTC Beneficiaries</w:t>
              </w:r>
            </w:hyperlink>
          </w:p>
          <w:p w14:paraId="3B11B89B" w14:textId="77777777" w:rsidR="000B6501" w:rsidRPr="000B6501" w:rsidRDefault="000B6501" w:rsidP="003D3877">
            <w:pPr>
              <w:ind w:left="7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C8612C" w:rsidRPr="000B6501" w14:paraId="0841891D" w14:textId="77777777" w:rsidTr="00CA0EEB">
        <w:tc>
          <w:tcPr>
            <w:tcW w:w="1156" w:type="pct"/>
          </w:tcPr>
          <w:p w14:paraId="0EEA4ADC" w14:textId="77777777" w:rsidR="00C8612C" w:rsidRPr="000B6501" w:rsidRDefault="00C8612C" w:rsidP="008167F0">
            <w:pPr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The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beneficiary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asks,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proofErr w:type="gramStart"/>
            <w:r w:rsidRPr="000B6501">
              <w:rPr>
                <w:rFonts w:ascii="Verdana" w:hAnsi="Verdana"/>
                <w:b/>
                <w:bCs/>
              </w:rPr>
              <w:t>Why</w:t>
            </w:r>
            <w:proofErr w:type="gramEnd"/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did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only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receive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30-day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supply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of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medication?</w:t>
            </w:r>
          </w:p>
          <w:p w14:paraId="4D469E55" w14:textId="77777777" w:rsidR="00C8612C" w:rsidRPr="000B6501" w:rsidRDefault="00C8612C" w:rsidP="008167F0">
            <w:pPr>
              <w:textAlignment w:val="top"/>
              <w:rPr>
                <w:rFonts w:ascii="Verdana" w:hAnsi="Verdana"/>
                <w:b/>
                <w:bCs/>
              </w:rPr>
            </w:pPr>
          </w:p>
          <w:p w14:paraId="2934F680" w14:textId="77777777" w:rsidR="00C8612C" w:rsidRPr="000B6501" w:rsidRDefault="00C8612C" w:rsidP="008167F0">
            <w:pPr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My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doctor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wrote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prescription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90-day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supply.</w:t>
            </w:r>
          </w:p>
        </w:tc>
        <w:tc>
          <w:tcPr>
            <w:tcW w:w="3844" w:type="pct"/>
          </w:tcPr>
          <w:p w14:paraId="6FE15B3F" w14:textId="38C2842C" w:rsidR="00FE66F1" w:rsidRPr="000B6501" w:rsidRDefault="00C20F93" w:rsidP="00FE66F1">
            <w:pPr>
              <w:rPr>
                <w:rStyle w:val="Hyperlink"/>
                <w:rFonts w:ascii="Verdana" w:hAnsi="Verdana"/>
                <w:color w:val="auto"/>
                <w:u w:val="none"/>
              </w:rPr>
            </w:pPr>
            <w:r>
              <w:rPr>
                <w:rStyle w:val="Hyperlink"/>
                <w:rFonts w:ascii="Verdana" w:hAnsi="Verdana"/>
                <w:b/>
                <w:noProof/>
                <w:color w:val="auto"/>
                <w:u w:val="none"/>
              </w:rPr>
              <w:drawing>
                <wp:inline distT="0" distB="0" distL="0" distR="0" wp14:anchorId="7BC8C74C" wp14:editId="7F609F0C">
                  <wp:extent cx="239395" cy="210820"/>
                  <wp:effectExtent l="0" t="0" r="0" b="0"/>
                  <wp:docPr id="2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01B1" w:rsidRPr="000B6501">
              <w:rPr>
                <w:rStyle w:val="Hyperlink"/>
                <w:rFonts w:ascii="Verdana" w:hAnsi="Verdana"/>
                <w:b/>
                <w:color w:val="auto"/>
                <w:u w:val="none"/>
              </w:rPr>
              <w:t xml:space="preserve"> 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CMS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guidance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indicates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beneficiary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is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entitled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to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up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to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90-day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supply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in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single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Transition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Fill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during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Public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Health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Emergency.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Beneficiaries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can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request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proofErr w:type="gramStart"/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day</w:t>
            </w:r>
            <w:proofErr w:type="gramEnd"/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supply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greater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than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standard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30-day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Transition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Fill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if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beneficiary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has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not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received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transition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fill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already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during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their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new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plan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E66F1" w:rsidRPr="000B6501">
              <w:rPr>
                <w:rStyle w:val="Hyperlink"/>
                <w:rFonts w:ascii="Verdana" w:hAnsi="Verdana"/>
                <w:color w:val="auto"/>
                <w:u w:val="none"/>
              </w:rPr>
              <w:t>year.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</w:p>
          <w:p w14:paraId="33767C6B" w14:textId="77777777" w:rsidR="00FE66F1" w:rsidRPr="000B6501" w:rsidRDefault="00FE66F1" w:rsidP="00FE66F1">
            <w:pPr>
              <w:rPr>
                <w:rStyle w:val="Hyperlink"/>
                <w:rFonts w:ascii="Verdana" w:hAnsi="Verdana"/>
                <w:color w:val="auto"/>
                <w:u w:val="none"/>
              </w:rPr>
            </w:pPr>
          </w:p>
          <w:p w14:paraId="638FEA83" w14:textId="77777777" w:rsidR="00FE66F1" w:rsidRPr="000B6501" w:rsidRDefault="00FE66F1" w:rsidP="00FE66F1">
            <w:pPr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Review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CIF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to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determine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if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client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allows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proofErr w:type="gramStart"/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90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day</w:t>
            </w:r>
            <w:proofErr w:type="gramEnd"/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supply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for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a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Transition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Fill</w:t>
            </w:r>
          </w:p>
          <w:p w14:paraId="23249509" w14:textId="77777777" w:rsidR="00FE66F1" w:rsidRPr="000B6501" w:rsidRDefault="00FE66F1" w:rsidP="00474631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If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yes,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transfer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to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Senior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Team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to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enter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the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appropriate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Transition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Fill</w:t>
            </w:r>
            <w:r w:rsidR="001701B1" w:rsidRPr="000B6501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0B6501">
              <w:rPr>
                <w:rStyle w:val="Hyperlink"/>
                <w:rFonts w:ascii="Verdana" w:hAnsi="Verdana"/>
                <w:color w:val="auto"/>
                <w:u w:val="none"/>
              </w:rPr>
              <w:t>Override.</w:t>
            </w:r>
          </w:p>
          <w:p w14:paraId="4D762DE5" w14:textId="77777777" w:rsidR="00CA371E" w:rsidRPr="000B6501" w:rsidRDefault="00CA371E" w:rsidP="006557E1">
            <w:pPr>
              <w:textAlignment w:val="top"/>
              <w:rPr>
                <w:rFonts w:ascii="Verdana" w:hAnsi="Verdana"/>
                <w:b/>
                <w:bCs/>
              </w:rPr>
            </w:pPr>
          </w:p>
          <w:p w14:paraId="49CB89CD" w14:textId="77777777" w:rsidR="006557E1" w:rsidRPr="000B6501" w:rsidRDefault="006557E1" w:rsidP="006557E1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  <w:bCs/>
              </w:rPr>
              <w:t>Senior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Team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Note</w:t>
            </w:r>
            <w:r w:rsidRPr="000B6501">
              <w:rPr>
                <w:rFonts w:ascii="Verdana" w:hAnsi="Verdana"/>
                <w:b/>
              </w:rPr>
              <w:t>: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Use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appropriate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override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code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assure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Part-D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letter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member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prescriber.</w:t>
            </w:r>
          </w:p>
          <w:p w14:paraId="20724E9F" w14:textId="77777777" w:rsidR="00FE66F1" w:rsidRPr="000B6501" w:rsidRDefault="00FE66F1" w:rsidP="008167F0">
            <w:pPr>
              <w:textAlignment w:val="top"/>
              <w:rPr>
                <w:rFonts w:ascii="Verdana" w:hAnsi="Verdana"/>
              </w:rPr>
            </w:pPr>
          </w:p>
          <w:p w14:paraId="5C3EF8BC" w14:textId="5E6691F5" w:rsidR="00C12282" w:rsidRPr="000B6501" w:rsidRDefault="00C20F93" w:rsidP="008167F0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092A4EB" wp14:editId="790F636F">
                  <wp:extent cx="239395" cy="210820"/>
                  <wp:effectExtent l="0" t="0" r="0" b="0"/>
                  <wp:docPr id="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92F5E" w14:textId="77777777" w:rsidR="007D010B" w:rsidRPr="000B6501" w:rsidRDefault="00C8612C" w:rsidP="00474631">
            <w:pPr>
              <w:numPr>
                <w:ilvl w:val="0"/>
                <w:numId w:val="3"/>
              </w:numPr>
              <w:autoSpaceDE w:val="0"/>
              <w:autoSpaceDN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temporary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30-day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supply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not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currently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require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additional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authorization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coverage.</w:t>
            </w:r>
          </w:p>
          <w:p w14:paraId="04FB18A5" w14:textId="77777777" w:rsidR="007D010B" w:rsidRPr="000B6501" w:rsidRDefault="00056C41" w:rsidP="00474631">
            <w:pPr>
              <w:numPr>
                <w:ilvl w:val="0"/>
                <w:numId w:val="3"/>
              </w:numPr>
              <w:autoSpaceDE w:val="0"/>
              <w:autoSpaceDN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put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place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ensure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access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beginning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year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when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new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allow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review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9458DF" w:rsidRPr="000B6501">
              <w:rPr>
                <w:rFonts w:ascii="Verdana" w:hAnsi="Verdana"/>
              </w:rPr>
              <w:t>medications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with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9458DF" w:rsidRPr="000B6501">
              <w:rPr>
                <w:rFonts w:ascii="Verdana" w:hAnsi="Verdana"/>
              </w:rPr>
              <w:t>prescriber</w:t>
            </w:r>
            <w:r w:rsidRPr="000B6501">
              <w:rPr>
                <w:rFonts w:ascii="Verdana" w:hAnsi="Verdana"/>
              </w:rPr>
              <w:t>.</w:t>
            </w:r>
          </w:p>
          <w:p w14:paraId="2FED3035" w14:textId="77777777" w:rsidR="00C12282" w:rsidRPr="000B6501" w:rsidRDefault="00056C41" w:rsidP="00474631">
            <w:pPr>
              <w:numPr>
                <w:ilvl w:val="0"/>
                <w:numId w:val="3"/>
              </w:numPr>
              <w:autoSpaceDE w:val="0"/>
              <w:autoSpaceDN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Per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Part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alt</w:t>
            </w:r>
            <w:r w:rsidR="00C8612C" w:rsidRPr="000B6501">
              <w:rPr>
                <w:rFonts w:ascii="Verdana" w:hAnsi="Verdana"/>
              </w:rPr>
              <w:t>hough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prescription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written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90-day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supply,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when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applying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fill,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prescription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can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  <w:b/>
                <w:bCs/>
                <w:iCs/>
              </w:rPr>
              <w:t>ONLY</w:t>
            </w:r>
            <w:r w:rsidR="001701B1" w:rsidRPr="000B6501">
              <w:rPr>
                <w:rFonts w:ascii="Verdana" w:hAnsi="Verdana"/>
                <w:b/>
                <w:bCs/>
                <w:iCs/>
              </w:rPr>
              <w:t xml:space="preserve"> </w:t>
            </w:r>
            <w:r w:rsidR="00641AC4"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41AC4" w:rsidRPr="000B6501">
              <w:rPr>
                <w:rFonts w:ascii="Verdana" w:hAnsi="Verdana"/>
              </w:rPr>
              <w:t>filled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41AC4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41AC4" w:rsidRPr="000B6501">
              <w:rPr>
                <w:rFonts w:ascii="Verdana" w:hAnsi="Verdana"/>
              </w:rPr>
              <w:t>30-day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641AC4" w:rsidRPr="000B6501">
              <w:rPr>
                <w:rFonts w:ascii="Verdana" w:hAnsi="Verdana"/>
              </w:rPr>
              <w:t>supply.</w:t>
            </w:r>
          </w:p>
          <w:p w14:paraId="395F38EC" w14:textId="77777777" w:rsidR="00641AC4" w:rsidRPr="000B6501" w:rsidRDefault="00641AC4" w:rsidP="00641AC4">
            <w:pPr>
              <w:autoSpaceDE w:val="0"/>
              <w:autoSpaceDN w:val="0"/>
              <w:ind w:left="360"/>
              <w:rPr>
                <w:rFonts w:ascii="Verdana" w:hAnsi="Verdana"/>
              </w:rPr>
            </w:pPr>
          </w:p>
          <w:p w14:paraId="15177D25" w14:textId="77777777" w:rsidR="00C12282" w:rsidRPr="000B6501" w:rsidRDefault="00C12282" w:rsidP="008167F0">
            <w:pPr>
              <w:autoSpaceDE w:val="0"/>
              <w:autoSpaceDN w:val="0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  <w:b/>
              </w:rPr>
              <w:t>BENEFICIARY</w:t>
            </w:r>
            <w:r w:rsidR="001701B1" w:rsidRPr="000B6501">
              <w:rPr>
                <w:rFonts w:ascii="Verdana" w:hAnsi="Verdana"/>
                <w:b/>
              </w:rPr>
              <w:t xml:space="preserve"> </w:t>
            </w:r>
            <w:r w:rsidRPr="000B6501">
              <w:rPr>
                <w:rFonts w:ascii="Verdana" w:hAnsi="Verdana"/>
                <w:b/>
              </w:rPr>
              <w:t>OPTIONS</w:t>
            </w:r>
          </w:p>
          <w:p w14:paraId="4128ABE3" w14:textId="46E40EBA" w:rsidR="007D010B" w:rsidRPr="000B6501" w:rsidRDefault="00C20F93" w:rsidP="008167F0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4CDC461" wp14:editId="141D6623">
                  <wp:extent cx="239395" cy="210820"/>
                  <wp:effectExtent l="0" t="0" r="0" b="0"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70D30" w14:textId="2548B0D5" w:rsidR="00C8612C" w:rsidRPr="000B6501" w:rsidRDefault="00C8612C">
            <w:pPr>
              <w:numPr>
                <w:ilvl w:val="0"/>
                <w:numId w:val="36"/>
              </w:numPr>
              <w:textAlignment w:val="top"/>
              <w:rPr>
                <w:rFonts w:ascii="Verdana" w:hAnsi="Verdana"/>
                <w:b/>
              </w:rPr>
            </w:pPr>
            <w:r w:rsidRPr="000B6501">
              <w:rPr>
                <w:rFonts w:ascii="Verdana" w:hAnsi="Verdana"/>
              </w:rPr>
              <w:t>While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temporary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30-day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supply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hand,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please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work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with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9458DF" w:rsidRPr="000B6501">
              <w:rPr>
                <w:rFonts w:ascii="Verdana" w:hAnsi="Verdana"/>
              </w:rPr>
              <w:t>prescriber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change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to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a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565A8F" w:rsidRPr="000B6501">
              <w:rPr>
                <w:rFonts w:ascii="Verdana" w:hAnsi="Verdana" w:cs="Arial"/>
              </w:rPr>
              <w:t>formulary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565A8F" w:rsidRPr="000B6501">
              <w:rPr>
                <w:rFonts w:ascii="Verdana" w:hAnsi="Verdana" w:cs="Arial"/>
              </w:rPr>
              <w:t>medication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565A8F" w:rsidRPr="000B6501">
              <w:rPr>
                <w:rFonts w:ascii="Verdana" w:hAnsi="Verdana" w:cs="Arial"/>
              </w:rPr>
              <w:t>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565A8F" w:rsidRPr="000B6501">
              <w:rPr>
                <w:rFonts w:ascii="Verdana" w:hAnsi="Verdana" w:cs="Arial"/>
              </w:rPr>
              <w:t>request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an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exception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prior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authorization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through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the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coverage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determination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CC5864" w:rsidRPr="000B6501">
              <w:rPr>
                <w:rFonts w:ascii="Verdana" w:hAnsi="Verdana" w:cs="Arial"/>
              </w:rPr>
              <w:t>process.</w:t>
            </w:r>
            <w:r w:rsidR="001701B1" w:rsidRPr="000B6501">
              <w:rPr>
                <w:rFonts w:ascii="Verdana" w:hAnsi="Verdana" w:cs="Arial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bookmarkStart w:id="42" w:name="OLE_LINK66"/>
            <w:r w:rsidR="003D3877">
              <w:rPr>
                <w:rFonts w:ascii="Verdana" w:hAnsi="Verdana"/>
              </w:rPr>
              <w:fldChar w:fldCharType="begin"/>
            </w:r>
            <w:r w:rsidR="002E12F0">
              <w:rPr>
                <w:rFonts w:ascii="Verdana" w:hAnsi="Verdana"/>
              </w:rPr>
              <w:instrText>HYPERLINK "C:\\Users\\C337799\\Downloads\\TSRC-PROD-061745"</w:instrText>
            </w:r>
            <w:r w:rsidR="003D3877">
              <w:rPr>
                <w:rFonts w:ascii="Verdana" w:hAnsi="Verdana"/>
              </w:rPr>
            </w:r>
            <w:r w:rsidR="003D3877">
              <w:rPr>
                <w:rFonts w:ascii="Verdana" w:hAnsi="Verdana"/>
              </w:rPr>
              <w:fldChar w:fldCharType="separate"/>
            </w:r>
            <w:r w:rsidR="003D3877" w:rsidRPr="003D3877">
              <w:rPr>
                <w:rStyle w:val="Hyperlink"/>
                <w:rFonts w:ascii="Verdana" w:hAnsi="Verdana"/>
              </w:rPr>
              <w:t xml:space="preserve">Compass </w:t>
            </w:r>
            <w:r w:rsidR="003D3877" w:rsidRPr="003D3877">
              <w:rPr>
                <w:rStyle w:val="Hyperlink"/>
                <w:rFonts w:ascii="Verdana" w:hAnsi="Verdana"/>
                <w:bCs/>
              </w:rPr>
              <w:t>MED D - Coverage Determinations and Redeterminations (Appeals)</w:t>
            </w:r>
            <w:r w:rsidR="003D3877">
              <w:rPr>
                <w:rFonts w:ascii="Verdana" w:hAnsi="Verdana"/>
              </w:rPr>
              <w:fldChar w:fldCharType="end"/>
            </w:r>
            <w:r w:rsidR="00565A8F" w:rsidRPr="000B6501">
              <w:rPr>
                <w:rFonts w:ascii="Verdana" w:hAnsi="Verdana"/>
                <w:bCs/>
                <w:color w:val="333333"/>
              </w:rPr>
              <w:t>.</w:t>
            </w:r>
            <w:bookmarkEnd w:id="42"/>
          </w:p>
          <w:p w14:paraId="36A1CF97" w14:textId="77777777" w:rsidR="00C12282" w:rsidRPr="000B6501" w:rsidRDefault="00CC5864">
            <w:pPr>
              <w:numPr>
                <w:ilvl w:val="0"/>
                <w:numId w:val="36"/>
              </w:numPr>
              <w:autoSpaceDE w:val="0"/>
              <w:autoSpaceDN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approved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coverage,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pharmacy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8612C" w:rsidRPr="000B6501">
              <w:rPr>
                <w:rFonts w:ascii="Verdana" w:hAnsi="Verdana"/>
              </w:rPr>
              <w:t>abl</w:t>
            </w:r>
            <w:r w:rsidR="003545DC" w:rsidRPr="000B6501">
              <w:rPr>
                <w:rFonts w:ascii="Verdana" w:hAnsi="Verdana"/>
              </w:rPr>
              <w:t>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dispense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90-day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supply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provided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n</w:t>
            </w:r>
            <w:r w:rsidR="001D732E" w:rsidRPr="000B6501">
              <w:rPr>
                <w:rFonts w:ascii="Verdana" w:hAnsi="Verdana"/>
              </w:rPr>
              <w:t>ot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considered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Specialty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D732E" w:rsidRPr="000B6501">
              <w:rPr>
                <w:rFonts w:ascii="Verdana" w:hAnsi="Verdana"/>
              </w:rPr>
              <w:t>drug.</w:t>
            </w:r>
          </w:p>
          <w:p w14:paraId="78A5B5EF" w14:textId="77777777" w:rsidR="000B6501" w:rsidRPr="000B6501" w:rsidRDefault="000B6501" w:rsidP="000B6501">
            <w:pPr>
              <w:autoSpaceDE w:val="0"/>
              <w:autoSpaceDN w:val="0"/>
              <w:ind w:left="720"/>
              <w:rPr>
                <w:rFonts w:ascii="Verdana" w:hAnsi="Verdana"/>
              </w:rPr>
            </w:pPr>
          </w:p>
        </w:tc>
      </w:tr>
      <w:tr w:rsidR="002A24A2" w:rsidRPr="000B6501" w14:paraId="543A9D64" w14:textId="77777777" w:rsidTr="00CA0EEB">
        <w:tc>
          <w:tcPr>
            <w:tcW w:w="1156" w:type="pct"/>
          </w:tcPr>
          <w:p w14:paraId="5535D79B" w14:textId="77777777" w:rsidR="002A24A2" w:rsidRPr="000B6501" w:rsidRDefault="002A24A2" w:rsidP="0058566A">
            <w:p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If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beneficiary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has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received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prior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authorization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non-formulary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drug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58566A" w:rsidRPr="000B6501">
              <w:rPr>
                <w:rFonts w:ascii="Verdana" w:hAnsi="Verdana"/>
                <w:b/>
                <w:bCs/>
              </w:rPr>
              <w:t>2020</w:t>
            </w:r>
            <w:r w:rsidRPr="000B6501">
              <w:rPr>
                <w:rFonts w:ascii="Verdana" w:hAnsi="Verdana"/>
                <w:b/>
                <w:bCs/>
              </w:rPr>
              <w:t>,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will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the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prior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authorization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extend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into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58566A" w:rsidRPr="000B6501">
              <w:rPr>
                <w:rFonts w:ascii="Verdana" w:hAnsi="Verdana"/>
                <w:b/>
                <w:bCs/>
              </w:rPr>
              <w:t>2021</w:t>
            </w:r>
            <w:r w:rsidRPr="000B6501">
              <w:rPr>
                <w:rFonts w:ascii="Verdana" w:hAnsi="Verdana"/>
                <w:b/>
                <w:bCs/>
              </w:rPr>
              <w:t>?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3844" w:type="pct"/>
          </w:tcPr>
          <w:p w14:paraId="0D9D2662" w14:textId="21748FD9" w:rsidR="00CD22A8" w:rsidRPr="000B6501" w:rsidRDefault="00C20F93" w:rsidP="008167F0">
            <w:p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4F3A47E" wp14:editId="34F7CCB2">
                  <wp:extent cx="239395" cy="210820"/>
                  <wp:effectExtent l="0" t="0" r="0" b="0"/>
                  <wp:docPr id="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6459B" w14:textId="098FC18D" w:rsidR="00CF17A0" w:rsidRPr="000B6501" w:rsidRDefault="00916C73">
            <w:pPr>
              <w:numPr>
                <w:ilvl w:val="0"/>
                <w:numId w:val="37"/>
              </w:num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most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cases,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existing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authorizations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carry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over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58566A" w:rsidRPr="000B6501">
              <w:rPr>
                <w:rFonts w:ascii="Verdana" w:hAnsi="Verdana"/>
              </w:rPr>
              <w:t>2021</w:t>
            </w:r>
            <w:r w:rsidRPr="000B6501">
              <w:rPr>
                <w:rFonts w:ascii="Verdana" w:hAnsi="Verdana"/>
              </w:rPr>
              <w:t>.</w:t>
            </w:r>
          </w:p>
          <w:p w14:paraId="17393A81" w14:textId="77777777" w:rsidR="00F6730D" w:rsidRPr="000B6501" w:rsidRDefault="00F6730D">
            <w:pPr>
              <w:numPr>
                <w:ilvl w:val="0"/>
                <w:numId w:val="37"/>
              </w:num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 w:cs="Arial"/>
                <w:bCs/>
              </w:rPr>
              <w:t xml:space="preserve">Keep in mind that a PA is usually approved for a </w:t>
            </w:r>
            <w:proofErr w:type="gramStart"/>
            <w:r w:rsidRPr="000B6501">
              <w:rPr>
                <w:rFonts w:ascii="Verdana" w:hAnsi="Verdana" w:cs="Arial"/>
                <w:bCs/>
              </w:rPr>
              <w:t>15 month</w:t>
            </w:r>
            <w:proofErr w:type="gramEnd"/>
            <w:r w:rsidRPr="000B6501">
              <w:rPr>
                <w:rFonts w:ascii="Verdana" w:hAnsi="Verdana" w:cs="Arial"/>
                <w:bCs/>
              </w:rPr>
              <w:t xml:space="preserve"> period; your PA may expire some time prior to the end of the calendar year.</w:t>
            </w:r>
          </w:p>
          <w:p w14:paraId="09862F9F" w14:textId="77777777" w:rsidR="00916C73" w:rsidRPr="000B6501" w:rsidRDefault="00916C73">
            <w:pPr>
              <w:numPr>
                <w:ilvl w:val="0"/>
                <w:numId w:val="37"/>
              </w:num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</w:rPr>
              <w:t>However,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some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plans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chose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terminate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prior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authorizations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medications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removed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from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formulary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F0251"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F0251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F0251" w:rsidRPr="000B6501">
              <w:rPr>
                <w:rFonts w:ascii="Verdana" w:hAnsi="Verdana"/>
              </w:rPr>
              <w:t>new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F0251" w:rsidRPr="000B6501">
              <w:rPr>
                <w:rFonts w:ascii="Verdana" w:hAnsi="Verdana"/>
              </w:rPr>
              <w:t>plan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F0251" w:rsidRPr="000B6501">
              <w:rPr>
                <w:rFonts w:ascii="Verdana" w:hAnsi="Verdana"/>
              </w:rPr>
              <w:t>year</w:t>
            </w:r>
            <w:r w:rsidRPr="000B6501">
              <w:rPr>
                <w:rFonts w:ascii="Verdana" w:hAnsi="Verdana"/>
              </w:rPr>
              <w:t>.</w:t>
            </w:r>
          </w:p>
          <w:p w14:paraId="7BDDA88C" w14:textId="77777777" w:rsidR="00CD22A8" w:rsidRPr="000B6501" w:rsidRDefault="00CD22A8" w:rsidP="008167F0">
            <w:pPr>
              <w:textAlignment w:val="top"/>
              <w:rPr>
                <w:rFonts w:ascii="Verdana" w:hAnsi="Verdana"/>
              </w:rPr>
            </w:pPr>
          </w:p>
          <w:p w14:paraId="0197EF23" w14:textId="54221A97" w:rsidR="00916C73" w:rsidRPr="000B6501" w:rsidRDefault="002A24A2" w:rsidP="001D732E">
            <w:pPr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43" w:history="1">
              <w:r w:rsidR="003D3877" w:rsidRPr="003D3877">
                <w:rPr>
                  <w:rStyle w:val="Hyperlink"/>
                  <w:rFonts w:ascii="Verdana" w:hAnsi="Verdana"/>
                </w:rPr>
                <w:t xml:space="preserve">Compass </w:t>
              </w:r>
              <w:r w:rsidR="003D3877" w:rsidRPr="003D3877">
                <w:rPr>
                  <w:rStyle w:val="Hyperlink"/>
                  <w:rFonts w:ascii="Verdana" w:hAnsi="Verdana"/>
                  <w:bCs/>
                </w:rPr>
                <w:t>MED D - Coverage Determinations and Redeterminations (Appeals)</w:t>
              </w:r>
            </w:hyperlink>
            <w:r w:rsidR="001701B1" w:rsidRPr="000B6501">
              <w:rPr>
                <w:rFonts w:ascii="Verdana" w:hAnsi="Verdana"/>
                <w:bCs/>
                <w:color w:val="333333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determine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status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(effective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expiration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date)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specific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question.</w:t>
            </w:r>
          </w:p>
          <w:p w14:paraId="3CBDB0F6" w14:textId="77777777" w:rsidR="000B6501" w:rsidRPr="000B6501" w:rsidRDefault="000B6501" w:rsidP="001D732E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2A24A2" w:rsidRPr="000B6501" w14:paraId="5B84ECE4" w14:textId="77777777" w:rsidTr="00CA0EEB">
        <w:tc>
          <w:tcPr>
            <w:tcW w:w="1156" w:type="pct"/>
          </w:tcPr>
          <w:p w14:paraId="67B4EA54" w14:textId="77777777" w:rsidR="002A24A2" w:rsidRPr="000B6501" w:rsidRDefault="002A24A2" w:rsidP="008167F0">
            <w:pPr>
              <w:textAlignment w:val="top"/>
              <w:rPr>
                <w:rFonts w:ascii="Verdana" w:hAnsi="Verdana" w:cs="Arial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What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can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do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medications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while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wait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for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approval?</w:t>
            </w:r>
          </w:p>
        </w:tc>
        <w:tc>
          <w:tcPr>
            <w:tcW w:w="3844" w:type="pct"/>
          </w:tcPr>
          <w:p w14:paraId="228E9307" w14:textId="0B2920E5" w:rsidR="002A24A2" w:rsidRPr="000B6501" w:rsidRDefault="00C20F93" w:rsidP="001701B1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1FA34F0" wp14:editId="160CFBEB">
                  <wp:extent cx="239395" cy="210820"/>
                  <wp:effectExtent l="0" t="0" r="0" b="0"/>
                  <wp:docPr id="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01B1" w:rsidRPr="000B6501">
              <w:rPr>
                <w:rFonts w:ascii="Verdana" w:hAnsi="Verdana"/>
                <w:b/>
              </w:rPr>
              <w:t xml:space="preserve">  </w:t>
            </w:r>
            <w:r w:rsidR="002A24A2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available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while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wait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your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PA/Coverage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Determination/Exception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2A24A2" w:rsidRPr="000B6501">
              <w:rPr>
                <w:rFonts w:ascii="Verdana" w:hAnsi="Verdana"/>
              </w:rPr>
              <w:t>approved.</w:t>
            </w:r>
          </w:p>
          <w:p w14:paraId="52AB2658" w14:textId="77777777" w:rsidR="00CD22A8" w:rsidRPr="000B6501" w:rsidRDefault="00CD22A8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</w:rPr>
            </w:pPr>
          </w:p>
          <w:p w14:paraId="0AEADDA8" w14:textId="77777777" w:rsidR="00CD22A8" w:rsidRPr="000B6501" w:rsidRDefault="002A24A2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CCR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Process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Note: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</w:p>
          <w:p w14:paraId="6F4627C8" w14:textId="47CADE7F" w:rsidR="00CD22A8" w:rsidRDefault="002A24A2" w:rsidP="008167F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following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sections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in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D22A8" w:rsidRPr="000B6501">
              <w:rPr>
                <w:rFonts w:ascii="Verdana" w:hAnsi="Verdana"/>
              </w:rPr>
              <w:t>this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CD22A8" w:rsidRPr="000B6501">
              <w:rPr>
                <w:rFonts w:ascii="Verdana" w:hAnsi="Verdana"/>
              </w:rPr>
              <w:t>document: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4CC6814F" w14:textId="30AD9AD0" w:rsidR="003D3877" w:rsidRDefault="003D3877" w:rsidP="003D3877">
            <w:pPr>
              <w:pStyle w:val="NormalWeb"/>
              <w:numPr>
                <w:ilvl w:val="0"/>
                <w:numId w:val="62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Transition_Fills_(Non-formulary" w:history="1">
              <w:r>
                <w:rPr>
                  <w:rStyle w:val="Hyperlink"/>
                  <w:rFonts w:ascii="Verdana" w:hAnsi="Verdana"/>
                </w:rPr>
                <w:t>Transition Fill Process</w:t>
              </w:r>
            </w:hyperlink>
          </w:p>
          <w:p w14:paraId="0F18EF16" w14:textId="0CD82B85" w:rsidR="003D3877" w:rsidRDefault="003D3877" w:rsidP="003D3877">
            <w:pPr>
              <w:pStyle w:val="NormalWeb"/>
              <w:numPr>
                <w:ilvl w:val="0"/>
                <w:numId w:val="62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PA_and_Step" w:history="1">
              <w:r>
                <w:rPr>
                  <w:rStyle w:val="Hyperlink"/>
                  <w:rFonts w:ascii="Verdana" w:hAnsi="Verdana"/>
                </w:rPr>
                <w:t>Transition Fill Scenario Guide - PA and Step Therapy Meds</w:t>
              </w:r>
            </w:hyperlink>
          </w:p>
          <w:p w14:paraId="1C3F23B8" w14:textId="1AAA0B76" w:rsidR="003D3877" w:rsidRDefault="003D3877" w:rsidP="003D3877">
            <w:pPr>
              <w:pStyle w:val="NormalWeb"/>
              <w:numPr>
                <w:ilvl w:val="0"/>
                <w:numId w:val="62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Compound_Meds" w:history="1">
              <w:r>
                <w:rPr>
                  <w:rStyle w:val="Hyperlink"/>
                  <w:rFonts w:ascii="Verdana" w:hAnsi="Verdana"/>
                </w:rPr>
                <w:t>Transition Fill Scenario Guide - Compound Meds</w:t>
              </w:r>
            </w:hyperlink>
          </w:p>
          <w:p w14:paraId="58A665F4" w14:textId="6EAE4444" w:rsidR="003D3877" w:rsidRPr="000B6501" w:rsidRDefault="003D3877" w:rsidP="003D3877">
            <w:pPr>
              <w:pStyle w:val="NormalWeb"/>
              <w:numPr>
                <w:ilvl w:val="0"/>
                <w:numId w:val="62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w:anchor="_LTC_Beneficiaries" w:history="1">
              <w:r>
                <w:rPr>
                  <w:rStyle w:val="Hyperlink"/>
                  <w:rFonts w:ascii="Verdana" w:hAnsi="Verdana"/>
                </w:rPr>
                <w:t>Transition Fill Scenario Guide - LTC Beneficiaries</w:t>
              </w:r>
            </w:hyperlink>
          </w:p>
          <w:p w14:paraId="451F441D" w14:textId="77777777" w:rsidR="000B6501" w:rsidRPr="000B6501" w:rsidRDefault="000B6501" w:rsidP="000B6501">
            <w:pPr>
              <w:pStyle w:val="NormalWeb"/>
              <w:spacing w:before="0" w:beforeAutospacing="0" w:after="0" w:afterAutospacing="0"/>
              <w:ind w:left="720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8C2DA7" w:rsidRPr="000B6501" w14:paraId="29D2DEC1" w14:textId="77777777" w:rsidTr="00CA0EEB">
        <w:tc>
          <w:tcPr>
            <w:tcW w:w="1156" w:type="pct"/>
          </w:tcPr>
          <w:p w14:paraId="1580D74C" w14:textId="77777777" w:rsidR="008C2DA7" w:rsidRPr="000B6501" w:rsidRDefault="008C2DA7" w:rsidP="008167F0">
            <w:pPr>
              <w:textAlignment w:val="top"/>
              <w:rPr>
                <w:rFonts w:ascii="Verdana" w:hAnsi="Verdana"/>
                <w:b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Can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I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request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6D23A6" w:rsidRPr="000B6501">
              <w:rPr>
                <w:rFonts w:ascii="Verdana" w:hAnsi="Verdana"/>
                <w:b/>
                <w:bCs/>
              </w:rPr>
              <w:t>lower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co-pay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a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transition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Pr="000B6501">
              <w:rPr>
                <w:rFonts w:ascii="Verdana" w:hAnsi="Verdana"/>
                <w:b/>
                <w:bCs/>
              </w:rPr>
              <w:t>fill?</w:t>
            </w:r>
          </w:p>
        </w:tc>
        <w:tc>
          <w:tcPr>
            <w:tcW w:w="3844" w:type="pct"/>
          </w:tcPr>
          <w:p w14:paraId="0AD04ABD" w14:textId="4512C259" w:rsidR="008C2DA7" w:rsidRDefault="00C20F93" w:rsidP="003D3877">
            <w:pPr>
              <w:rPr>
                <w:rFonts w:ascii="Verdana" w:hAnsi="Verdana"/>
              </w:rPr>
            </w:pPr>
            <w:r>
              <w:rPr>
                <w:rFonts w:ascii="Verdana" w:hAnsi="Verdana"/>
                <w:bCs/>
                <w:noProof/>
              </w:rPr>
              <w:drawing>
                <wp:inline distT="0" distB="0" distL="0" distR="0" wp14:anchorId="3E988C12" wp14:editId="39DBECA8">
                  <wp:extent cx="239395" cy="210820"/>
                  <wp:effectExtent l="0" t="0" r="0" b="0"/>
                  <wp:docPr id="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0251" w:rsidRPr="000B6501">
              <w:rPr>
                <w:rFonts w:ascii="Verdana" w:hAnsi="Verdana"/>
                <w:bCs/>
              </w:rPr>
              <w:t>For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3F0251" w:rsidRPr="000B6501">
              <w:rPr>
                <w:rFonts w:ascii="Verdana" w:hAnsi="Verdana"/>
                <w:bCs/>
              </w:rPr>
              <w:t>some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proofErr w:type="gramStart"/>
            <w:r w:rsidR="003F0251" w:rsidRPr="000B6501">
              <w:rPr>
                <w:rFonts w:ascii="Verdana" w:hAnsi="Verdana"/>
                <w:bCs/>
              </w:rPr>
              <w:t>circumstances</w:t>
            </w:r>
            <w:r w:rsidR="008C2DA7" w:rsidRPr="000B6501">
              <w:rPr>
                <w:rFonts w:ascii="Verdana" w:hAnsi="Verdana"/>
                <w:bCs/>
              </w:rPr>
              <w:t>,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8C2DA7" w:rsidRPr="000B6501">
              <w:rPr>
                <w:rFonts w:ascii="Verdana" w:hAnsi="Verdana"/>
                <w:bCs/>
              </w:rPr>
              <w:t>but</w:t>
            </w:r>
            <w:proofErr w:type="gramEnd"/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8C2DA7" w:rsidRPr="000B6501">
              <w:rPr>
                <w:rFonts w:ascii="Verdana" w:hAnsi="Verdana"/>
                <w:bCs/>
              </w:rPr>
              <w:t>you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8C2DA7" w:rsidRPr="000B6501">
              <w:rPr>
                <w:rFonts w:ascii="Verdana" w:hAnsi="Verdana"/>
                <w:bCs/>
              </w:rPr>
              <w:t>must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8C2DA7" w:rsidRPr="000B6501">
              <w:rPr>
                <w:rFonts w:ascii="Verdana" w:hAnsi="Verdana"/>
              </w:rPr>
              <w:t>have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prescription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pay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under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fill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first.</w:t>
            </w:r>
          </w:p>
          <w:p w14:paraId="1FDC13BE" w14:textId="77777777" w:rsidR="00CA0EEB" w:rsidRPr="000B6501" w:rsidRDefault="00CA0EEB" w:rsidP="003D3877">
            <w:pPr>
              <w:rPr>
                <w:rFonts w:ascii="Verdana" w:hAnsi="Verdana"/>
                <w:b/>
                <w:bCs/>
              </w:rPr>
            </w:pPr>
          </w:p>
          <w:p w14:paraId="73CFFD1D" w14:textId="0C28E820" w:rsidR="008C2DA7" w:rsidRDefault="00C20F93" w:rsidP="00CA0EEB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8CF6C80" wp14:editId="5668C3B5">
                  <wp:extent cx="239395" cy="210820"/>
                  <wp:effectExtent l="0" t="0" r="0" b="0"/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A0EEB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Once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pays</w:t>
            </w:r>
            <w:r w:rsidR="008C2DA7" w:rsidRPr="000B6501">
              <w:rPr>
                <w:rFonts w:ascii="Verdana" w:hAnsi="Verdana"/>
                <w:bCs/>
              </w:rPr>
              <w:t>,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8C2DA7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coverage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determination</w:t>
            </w:r>
            <w:r w:rsidR="0058566A" w:rsidRPr="000B6501">
              <w:rPr>
                <w:rFonts w:ascii="Verdana" w:hAnsi="Verdana"/>
              </w:rPr>
              <w:t>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58566A" w:rsidRPr="000B6501">
              <w:rPr>
                <w:rFonts w:ascii="Verdana" w:hAnsi="Verdana"/>
              </w:rPr>
              <w:t xml:space="preserve">also called a </w:t>
            </w:r>
            <w:r w:rsidR="008C2DA7" w:rsidRPr="000B6501">
              <w:rPr>
                <w:rFonts w:ascii="Verdana" w:hAnsi="Verdana"/>
              </w:rPr>
              <w:t>tier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exception</w:t>
            </w:r>
            <w:r w:rsidR="0058566A" w:rsidRPr="000B6501">
              <w:rPr>
                <w:rFonts w:ascii="Verdana" w:hAnsi="Verdana"/>
              </w:rPr>
              <w:t>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can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requested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same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time.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allowed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one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exception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per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medication;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receive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formulary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exception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not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receive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tier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exception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same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3545DC" w:rsidRPr="000B6501">
              <w:rPr>
                <w:rFonts w:ascii="Verdana" w:hAnsi="Verdana"/>
              </w:rPr>
              <w:t>medication.</w:t>
            </w:r>
          </w:p>
          <w:p w14:paraId="526E8518" w14:textId="77777777" w:rsidR="00CA0EEB" w:rsidRPr="000B6501" w:rsidRDefault="00CA0EEB" w:rsidP="00CA0EEB">
            <w:pPr>
              <w:rPr>
                <w:rFonts w:ascii="Verdana" w:hAnsi="Verdana"/>
                <w:b/>
                <w:bCs/>
              </w:rPr>
            </w:pPr>
          </w:p>
          <w:p w14:paraId="0D2E342E" w14:textId="77777777" w:rsidR="008C2DA7" w:rsidRPr="000B6501" w:rsidRDefault="008C2DA7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ascii="Verdana" w:hAnsi="Verdana"/>
                <w:bCs/>
              </w:rPr>
            </w:pP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approved,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will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be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granted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lower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tier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cost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share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and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request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reimbursement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via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o</w:t>
            </w:r>
            <w:r w:rsidR="00641AC4" w:rsidRPr="000B6501">
              <w:rPr>
                <w:rFonts w:ascii="Verdana" w:hAnsi="Verdana"/>
                <w:bCs/>
              </w:rPr>
              <w:t>ne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of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following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methods:</w:t>
            </w:r>
          </w:p>
          <w:p w14:paraId="409478E4" w14:textId="77777777" w:rsidR="008C2DA7" w:rsidRPr="000B6501" w:rsidRDefault="008C2DA7">
            <w:pPr>
              <w:pStyle w:val="ListParagraph"/>
              <w:numPr>
                <w:ilvl w:val="1"/>
                <w:numId w:val="39"/>
              </w:numPr>
              <w:contextualSpacing w:val="0"/>
              <w:rPr>
                <w:rFonts w:ascii="Verdana" w:hAnsi="Verdana"/>
                <w:bCs/>
              </w:rPr>
            </w:pPr>
            <w:r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dispensing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pharmacy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can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re</w:t>
            </w:r>
            <w:r w:rsidR="00641AC4" w:rsidRPr="000B6501">
              <w:rPr>
                <w:rFonts w:ascii="Verdana" w:hAnsi="Verdana"/>
                <w:bCs/>
              </w:rPr>
              <w:t>verse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and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reprocess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claim.</w:t>
            </w:r>
          </w:p>
          <w:p w14:paraId="1AEE94CD" w14:textId="77777777" w:rsidR="008C2DA7" w:rsidRPr="000B6501" w:rsidRDefault="008C2DA7">
            <w:pPr>
              <w:pStyle w:val="ListParagraph"/>
              <w:numPr>
                <w:ilvl w:val="1"/>
                <w:numId w:val="39"/>
              </w:numPr>
              <w:contextualSpacing w:val="0"/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You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file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paper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claim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for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reimbursement.</w:t>
            </w:r>
          </w:p>
          <w:p w14:paraId="4DCF4B5F" w14:textId="77777777" w:rsidR="00641AC4" w:rsidRPr="000B6501" w:rsidRDefault="00641AC4" w:rsidP="00C6479A">
            <w:pPr>
              <w:ind w:left="360"/>
              <w:rPr>
                <w:rFonts w:ascii="Verdana" w:hAnsi="Verdana"/>
                <w:b/>
                <w:bCs/>
              </w:rPr>
            </w:pPr>
          </w:p>
          <w:p w14:paraId="248B5F9E" w14:textId="77777777" w:rsidR="00C6479A" w:rsidRPr="000B6501" w:rsidRDefault="00121E7C" w:rsidP="00077F42">
            <w:pPr>
              <w:rPr>
                <w:rFonts w:ascii="Verdana" w:hAnsi="Verdana"/>
                <w:bCs/>
              </w:rPr>
            </w:pPr>
            <w:r w:rsidRPr="000B6501">
              <w:rPr>
                <w:rFonts w:ascii="Verdana" w:hAnsi="Verdana"/>
                <w:b/>
                <w:bCs/>
              </w:rPr>
              <w:t>C</w:t>
            </w:r>
            <w:r w:rsidR="00C6479A" w:rsidRPr="000B6501">
              <w:rPr>
                <w:rFonts w:ascii="Verdana" w:hAnsi="Verdana"/>
                <w:b/>
                <w:bCs/>
              </w:rPr>
              <w:t>CR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C6479A" w:rsidRPr="000B6501">
              <w:rPr>
                <w:rFonts w:ascii="Verdana" w:hAnsi="Verdana"/>
                <w:b/>
                <w:bCs/>
              </w:rPr>
              <w:t>Process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</w:t>
            </w:r>
            <w:r w:rsidR="00C6479A" w:rsidRPr="000B6501">
              <w:rPr>
                <w:rFonts w:ascii="Verdana" w:hAnsi="Verdana"/>
                <w:b/>
                <w:bCs/>
              </w:rPr>
              <w:t>Note:</w:t>
            </w:r>
            <w:r w:rsidR="001701B1" w:rsidRPr="000B6501">
              <w:rPr>
                <w:rFonts w:ascii="Verdana" w:hAnsi="Verdana"/>
                <w:b/>
                <w:bCs/>
              </w:rPr>
              <w:t xml:space="preserve">  </w:t>
            </w:r>
          </w:p>
          <w:p w14:paraId="11DFFDA7" w14:textId="77777777" w:rsidR="00C6479A" w:rsidRPr="000B6501" w:rsidRDefault="00C6479A">
            <w:pPr>
              <w:pStyle w:val="ListParagraph"/>
              <w:numPr>
                <w:ilvl w:val="0"/>
                <w:numId w:val="40"/>
              </w:numPr>
              <w:contextualSpacing w:val="0"/>
              <w:rPr>
                <w:rFonts w:ascii="Verdana" w:hAnsi="Verdana"/>
                <w:bCs/>
              </w:rPr>
            </w:pPr>
            <w:r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dispensing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pharmacy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can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reverse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and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reprocess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claim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if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submit</w:t>
            </w:r>
            <w:r w:rsidR="00641AC4" w:rsidRPr="000B6501">
              <w:rPr>
                <w:rFonts w:ascii="Verdana" w:hAnsi="Verdana"/>
                <w:bCs/>
              </w:rPr>
              <w:t>ted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within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30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days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of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="00641AC4" w:rsidRPr="000B6501">
              <w:rPr>
                <w:rFonts w:ascii="Verdana" w:hAnsi="Verdana"/>
                <w:bCs/>
              </w:rPr>
              <w:t>the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proofErr w:type="gramStart"/>
            <w:r w:rsidR="00641AC4" w:rsidRPr="000B6501">
              <w:rPr>
                <w:rFonts w:ascii="Verdana" w:hAnsi="Verdana"/>
                <w:bCs/>
              </w:rPr>
              <w:t>fill</w:t>
            </w:r>
            <w:proofErr w:type="gramEnd"/>
            <w:r w:rsidR="00641AC4" w:rsidRPr="000B6501">
              <w:rPr>
                <w:rFonts w:ascii="Verdana" w:hAnsi="Verdana"/>
                <w:bCs/>
              </w:rPr>
              <w:t>.</w:t>
            </w:r>
          </w:p>
          <w:p w14:paraId="5912AD8F" w14:textId="051F1808" w:rsidR="00C6479A" w:rsidRPr="00CA0EEB" w:rsidRDefault="00C6479A">
            <w:pPr>
              <w:pStyle w:val="NormalWeb"/>
              <w:numPr>
                <w:ilvl w:val="1"/>
                <w:numId w:val="40"/>
              </w:numPr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  <w:color w:val="333333"/>
              </w:rPr>
            </w:pPr>
            <w:r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outside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30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Pr="000B6501">
              <w:rPr>
                <w:rFonts w:ascii="Verdana" w:hAnsi="Verdana"/>
              </w:rPr>
              <w:t>days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0B6501">
              <w:rPr>
                <w:rFonts w:ascii="Verdana" w:hAnsi="Verdana"/>
                <w:bCs/>
              </w:rPr>
              <w:t>of</w:t>
            </w:r>
            <w:r w:rsidR="001701B1" w:rsidRPr="000B6501">
              <w:rPr>
                <w:rFonts w:ascii="Verdana" w:hAnsi="Verdana"/>
                <w:bCs/>
              </w:rPr>
              <w:t xml:space="preserve"> </w:t>
            </w:r>
            <w:r w:rsidRPr="00CA0EEB">
              <w:rPr>
                <w:rFonts w:ascii="Verdana" w:hAnsi="Verdana"/>
                <w:bCs/>
              </w:rPr>
              <w:t>the</w:t>
            </w:r>
            <w:r w:rsidR="001701B1" w:rsidRPr="00CA0EEB">
              <w:rPr>
                <w:rFonts w:ascii="Verdana" w:hAnsi="Verdana"/>
                <w:bCs/>
              </w:rPr>
              <w:t xml:space="preserve"> </w:t>
            </w:r>
            <w:r w:rsidRPr="00CA0EEB">
              <w:rPr>
                <w:rFonts w:ascii="Verdana" w:hAnsi="Verdana"/>
                <w:bCs/>
              </w:rPr>
              <w:t>fill</w:t>
            </w:r>
            <w:r w:rsidRPr="00CA0EEB">
              <w:rPr>
                <w:rFonts w:ascii="Verdana" w:hAnsi="Verdana"/>
              </w:rPr>
              <w:t>,</w:t>
            </w:r>
            <w:r w:rsidR="001701B1" w:rsidRPr="00CA0EEB">
              <w:rPr>
                <w:rFonts w:ascii="Verdana" w:hAnsi="Verdana"/>
              </w:rPr>
              <w:t xml:space="preserve"> </w:t>
            </w:r>
            <w:r w:rsidRPr="00CA0EEB">
              <w:rPr>
                <w:rFonts w:ascii="Verdana" w:hAnsi="Verdana"/>
              </w:rPr>
              <w:t>refer</w:t>
            </w:r>
            <w:r w:rsidR="001701B1" w:rsidRPr="00CA0EEB">
              <w:rPr>
                <w:rFonts w:ascii="Verdana" w:hAnsi="Verdana"/>
              </w:rPr>
              <w:t xml:space="preserve"> </w:t>
            </w:r>
            <w:r w:rsidRPr="00CA0EEB">
              <w:rPr>
                <w:rFonts w:ascii="Verdana" w:hAnsi="Verdana"/>
              </w:rPr>
              <w:t>to</w:t>
            </w:r>
            <w:r w:rsidR="001701B1" w:rsidRPr="00CA0EEB">
              <w:rPr>
                <w:rFonts w:ascii="Verdana" w:hAnsi="Verdana"/>
              </w:rPr>
              <w:t xml:space="preserve"> </w:t>
            </w:r>
            <w:r w:rsidR="00CA0EEB" w:rsidRPr="00CA0EEB">
              <w:rPr>
                <w:rFonts w:ascii="Verdana" w:hAnsi="Verdana"/>
              </w:rPr>
              <w:t>the “</w:t>
            </w:r>
            <w:r w:rsidRPr="00CA0EEB">
              <w:rPr>
                <w:rFonts w:ascii="Verdana" w:hAnsi="Verdana"/>
                <w:iCs/>
              </w:rPr>
              <w:t>Claim</w:t>
            </w:r>
            <w:r w:rsidR="001701B1" w:rsidRPr="00CA0EEB">
              <w:rPr>
                <w:rFonts w:ascii="Verdana" w:hAnsi="Verdana"/>
                <w:iCs/>
              </w:rPr>
              <w:t xml:space="preserve"> </w:t>
            </w:r>
            <w:r w:rsidRPr="00CA0EEB">
              <w:rPr>
                <w:rFonts w:ascii="Verdana" w:hAnsi="Verdana"/>
                <w:iCs/>
              </w:rPr>
              <w:t>Adjustment</w:t>
            </w:r>
            <w:r w:rsidR="001701B1" w:rsidRPr="00CA0EEB">
              <w:rPr>
                <w:rFonts w:ascii="Verdana" w:hAnsi="Verdana"/>
                <w:iCs/>
              </w:rPr>
              <w:t xml:space="preserve"> </w:t>
            </w:r>
            <w:r w:rsidRPr="00CA0EEB">
              <w:rPr>
                <w:rFonts w:ascii="Verdana" w:hAnsi="Verdana"/>
                <w:iCs/>
              </w:rPr>
              <w:t>Request</w:t>
            </w:r>
            <w:r w:rsidR="001701B1" w:rsidRPr="00CA0EEB">
              <w:rPr>
                <w:rFonts w:ascii="Verdana" w:hAnsi="Verdana"/>
                <w:iCs/>
              </w:rPr>
              <w:t xml:space="preserve"> </w:t>
            </w:r>
            <w:r w:rsidRPr="00CA0EEB">
              <w:rPr>
                <w:rFonts w:ascii="Verdana" w:hAnsi="Verdana"/>
                <w:iCs/>
              </w:rPr>
              <w:t>–</w:t>
            </w:r>
            <w:r w:rsidR="001701B1" w:rsidRPr="00CA0EEB">
              <w:rPr>
                <w:rFonts w:ascii="Verdana" w:hAnsi="Verdana"/>
                <w:iCs/>
              </w:rPr>
              <w:t xml:space="preserve"> </w:t>
            </w:r>
            <w:r w:rsidRPr="00CA0EEB">
              <w:rPr>
                <w:rFonts w:ascii="Verdana" w:hAnsi="Verdana"/>
                <w:iCs/>
              </w:rPr>
              <w:t>Claim</w:t>
            </w:r>
            <w:r w:rsidR="001701B1" w:rsidRPr="00CA0EEB">
              <w:rPr>
                <w:rFonts w:ascii="Verdana" w:hAnsi="Verdana"/>
                <w:iCs/>
              </w:rPr>
              <w:t xml:space="preserve"> </w:t>
            </w:r>
            <w:r w:rsidRPr="00CA0EEB">
              <w:rPr>
                <w:rFonts w:ascii="Verdana" w:hAnsi="Verdana"/>
                <w:iCs/>
              </w:rPr>
              <w:t>Adjustment</w:t>
            </w:r>
            <w:r w:rsidR="001701B1" w:rsidRPr="00CA0EEB">
              <w:rPr>
                <w:rFonts w:ascii="Verdana" w:hAnsi="Verdana"/>
                <w:iCs/>
              </w:rPr>
              <w:t xml:space="preserve"> </w:t>
            </w:r>
            <w:r w:rsidRPr="00CA0EEB">
              <w:rPr>
                <w:rFonts w:ascii="Verdana" w:hAnsi="Verdana"/>
                <w:iCs/>
              </w:rPr>
              <w:t>Reimbursements</w:t>
            </w:r>
            <w:r w:rsidR="00CA0EEB" w:rsidRPr="00CA0EEB">
              <w:rPr>
                <w:rFonts w:ascii="Verdana" w:hAnsi="Verdana"/>
                <w:iCs/>
              </w:rPr>
              <w:t>”</w:t>
            </w:r>
            <w:r w:rsidR="001701B1" w:rsidRPr="00CA0EEB">
              <w:rPr>
                <w:rFonts w:ascii="Verdana" w:hAnsi="Verdana"/>
                <w:iCs/>
              </w:rPr>
              <w:t xml:space="preserve"> </w:t>
            </w:r>
            <w:r w:rsidRPr="00CA0EEB">
              <w:rPr>
                <w:rFonts w:ascii="Verdana" w:hAnsi="Verdana"/>
                <w:iCs/>
              </w:rPr>
              <w:t>section</w:t>
            </w:r>
            <w:r w:rsidR="00CA0EEB">
              <w:rPr>
                <w:rFonts w:ascii="Verdana" w:hAnsi="Verdana"/>
                <w:iCs/>
              </w:rPr>
              <w:t xml:space="preserve"> </w:t>
            </w:r>
            <w:r w:rsidR="00CA0EEB">
              <w:rPr>
                <w:rFonts w:ascii="Verdana" w:hAnsi="Verdana"/>
                <w:bCs/>
              </w:rPr>
              <w:t xml:space="preserve">of </w:t>
            </w:r>
            <w:hyperlink r:id="rId44" w:history="1">
              <w:r w:rsidR="00CA0EEB">
                <w:rPr>
                  <w:rStyle w:val="Hyperlink"/>
                  <w:rFonts w:ascii="Verdana" w:hAnsi="Verdana"/>
                  <w:bCs/>
                </w:rPr>
                <w:t>Compass MED D - Claim Adjustment and Refund Requests</w:t>
              </w:r>
            </w:hyperlink>
            <w:r w:rsidRPr="00CA0EEB">
              <w:rPr>
                <w:rFonts w:ascii="Verdana" w:hAnsi="Verdana"/>
                <w:bCs/>
                <w:iCs/>
              </w:rPr>
              <w:t>.</w:t>
            </w:r>
          </w:p>
          <w:p w14:paraId="3C992223" w14:textId="674786EF" w:rsidR="00C6479A" w:rsidRPr="00CA0EEB" w:rsidRDefault="00C6479A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textAlignment w:val="top"/>
              <w:rPr>
                <w:rFonts w:ascii="Verdana" w:hAnsi="Verdana"/>
                <w:bCs/>
              </w:rPr>
            </w:pPr>
            <w:r w:rsidRPr="00CA0EEB">
              <w:rPr>
                <w:rFonts w:ascii="Verdana" w:hAnsi="Verdana"/>
                <w:b/>
                <w:bCs/>
              </w:rPr>
              <w:t>Mail</w:t>
            </w:r>
            <w:r w:rsidR="001701B1" w:rsidRPr="00CA0EEB">
              <w:rPr>
                <w:rFonts w:ascii="Verdana" w:hAnsi="Verdana"/>
                <w:b/>
                <w:bCs/>
              </w:rPr>
              <w:t xml:space="preserve"> </w:t>
            </w:r>
            <w:r w:rsidRPr="00CA0EEB">
              <w:rPr>
                <w:rFonts w:ascii="Verdana" w:hAnsi="Verdana"/>
                <w:b/>
                <w:bCs/>
              </w:rPr>
              <w:t>order:</w:t>
            </w:r>
            <w:r w:rsidR="001701B1" w:rsidRPr="00CA0EEB">
              <w:rPr>
                <w:rFonts w:ascii="Verdana" w:hAnsi="Verdana"/>
                <w:bCs/>
              </w:rPr>
              <w:t xml:space="preserve">  </w:t>
            </w:r>
            <w:r w:rsidRPr="00CA0EEB">
              <w:rPr>
                <w:rFonts w:ascii="Verdana" w:hAnsi="Verdana"/>
                <w:bCs/>
              </w:rPr>
              <w:t>Refer</w:t>
            </w:r>
            <w:r w:rsidR="001701B1" w:rsidRPr="00CA0EEB">
              <w:rPr>
                <w:rFonts w:ascii="Verdana" w:hAnsi="Verdana"/>
                <w:bCs/>
              </w:rPr>
              <w:t xml:space="preserve"> </w:t>
            </w:r>
            <w:r w:rsidRPr="00CA0EEB">
              <w:rPr>
                <w:rFonts w:ascii="Verdana" w:hAnsi="Verdana"/>
                <w:bCs/>
              </w:rPr>
              <w:t>to</w:t>
            </w:r>
            <w:r w:rsidR="001701B1" w:rsidRPr="00CA0EEB">
              <w:rPr>
                <w:rFonts w:ascii="Verdana" w:hAnsi="Verdana"/>
                <w:bCs/>
              </w:rPr>
              <w:t xml:space="preserve"> </w:t>
            </w:r>
            <w:bookmarkStart w:id="43" w:name="OLE_LINK62"/>
            <w:r w:rsidR="00CA0EEB" w:rsidRPr="00CA0EEB">
              <w:rPr>
                <w:rFonts w:ascii="Verdana" w:hAnsi="Verdana"/>
                <w:bCs/>
              </w:rPr>
              <w:t xml:space="preserve">the </w:t>
            </w:r>
            <w:bookmarkEnd w:id="43"/>
            <w:r w:rsidR="00CA0EEB">
              <w:rPr>
                <w:rFonts w:ascii="Verdana" w:hAnsi="Verdana"/>
                <w:bCs/>
              </w:rPr>
              <w:t>“</w:t>
            </w:r>
            <w:r w:rsidRPr="00CA0EEB">
              <w:rPr>
                <w:rFonts w:ascii="Verdana" w:hAnsi="Verdana"/>
                <w:bCs/>
              </w:rPr>
              <w:t>Claim</w:t>
            </w:r>
            <w:r w:rsidR="001701B1" w:rsidRPr="00CA0EEB">
              <w:rPr>
                <w:rFonts w:ascii="Verdana" w:hAnsi="Verdana"/>
                <w:bCs/>
              </w:rPr>
              <w:t xml:space="preserve"> </w:t>
            </w:r>
            <w:r w:rsidRPr="00CA0EEB">
              <w:rPr>
                <w:rFonts w:ascii="Verdana" w:hAnsi="Verdana"/>
                <w:bCs/>
              </w:rPr>
              <w:t>Adjustment</w:t>
            </w:r>
            <w:r w:rsidR="001701B1" w:rsidRPr="00CA0EEB">
              <w:rPr>
                <w:rFonts w:ascii="Verdana" w:hAnsi="Verdana"/>
                <w:bCs/>
              </w:rPr>
              <w:t xml:space="preserve"> </w:t>
            </w:r>
            <w:r w:rsidRPr="00CA0EEB">
              <w:rPr>
                <w:rFonts w:ascii="Verdana" w:hAnsi="Verdana"/>
                <w:bCs/>
              </w:rPr>
              <w:t>Request</w:t>
            </w:r>
            <w:r w:rsidR="001701B1" w:rsidRPr="00CA0EEB">
              <w:rPr>
                <w:rFonts w:ascii="Verdana" w:hAnsi="Verdana"/>
                <w:bCs/>
              </w:rPr>
              <w:t xml:space="preserve"> </w:t>
            </w:r>
            <w:r w:rsidRPr="00CA0EEB">
              <w:rPr>
                <w:rFonts w:ascii="Verdana" w:hAnsi="Verdana"/>
                <w:bCs/>
              </w:rPr>
              <w:t>–</w:t>
            </w:r>
            <w:r w:rsidR="001701B1" w:rsidRPr="00CA0EEB">
              <w:rPr>
                <w:rFonts w:ascii="Verdana" w:hAnsi="Verdana"/>
                <w:bCs/>
              </w:rPr>
              <w:t xml:space="preserve"> </w:t>
            </w:r>
            <w:r w:rsidRPr="00CA0EEB">
              <w:rPr>
                <w:rFonts w:ascii="Verdana" w:hAnsi="Verdana"/>
                <w:bCs/>
              </w:rPr>
              <w:t>Claim</w:t>
            </w:r>
            <w:r w:rsidR="001701B1" w:rsidRPr="00CA0EEB">
              <w:rPr>
                <w:rFonts w:ascii="Verdana" w:hAnsi="Verdana"/>
                <w:bCs/>
              </w:rPr>
              <w:t xml:space="preserve"> </w:t>
            </w:r>
            <w:r w:rsidRPr="00CA0EEB">
              <w:rPr>
                <w:rFonts w:ascii="Verdana" w:hAnsi="Verdana"/>
                <w:bCs/>
              </w:rPr>
              <w:t>Adjustment</w:t>
            </w:r>
            <w:r w:rsidR="001701B1" w:rsidRPr="00CA0EEB">
              <w:rPr>
                <w:rFonts w:ascii="Verdana" w:hAnsi="Verdana"/>
                <w:bCs/>
              </w:rPr>
              <w:t xml:space="preserve"> </w:t>
            </w:r>
            <w:r w:rsidRPr="00CA0EEB">
              <w:rPr>
                <w:rFonts w:ascii="Verdana" w:hAnsi="Verdana"/>
                <w:bCs/>
              </w:rPr>
              <w:t>Reimbursements</w:t>
            </w:r>
            <w:r w:rsidR="00CA0EEB">
              <w:rPr>
                <w:rFonts w:ascii="Verdana" w:hAnsi="Verdana"/>
                <w:bCs/>
              </w:rPr>
              <w:t>”</w:t>
            </w:r>
            <w:r w:rsidR="001701B1" w:rsidRPr="00CA0EEB">
              <w:rPr>
                <w:rFonts w:ascii="Verdana" w:hAnsi="Verdana"/>
                <w:bCs/>
              </w:rPr>
              <w:t xml:space="preserve"> </w:t>
            </w:r>
            <w:r w:rsidRPr="00CA0EEB">
              <w:rPr>
                <w:rFonts w:ascii="Verdana" w:hAnsi="Verdana"/>
                <w:bCs/>
              </w:rPr>
              <w:t>section</w:t>
            </w:r>
            <w:r w:rsidR="00CA0EEB" w:rsidRPr="00CA0EEB">
              <w:rPr>
                <w:rFonts w:ascii="Verdana" w:hAnsi="Verdana"/>
                <w:bCs/>
              </w:rPr>
              <w:t xml:space="preserve"> </w:t>
            </w:r>
            <w:bookmarkStart w:id="44" w:name="OLE_LINK8"/>
            <w:r w:rsidR="00CA0EEB" w:rsidRPr="00CA0EEB">
              <w:rPr>
                <w:rFonts w:ascii="Verdana" w:hAnsi="Verdana"/>
                <w:bCs/>
              </w:rPr>
              <w:t xml:space="preserve">of </w:t>
            </w:r>
            <w:hyperlink r:id="rId45" w:history="1">
              <w:r w:rsidR="00CA0EEB" w:rsidRPr="00CA0EEB">
                <w:rPr>
                  <w:rStyle w:val="Hyperlink"/>
                  <w:rFonts w:ascii="Verdana" w:hAnsi="Verdana"/>
                  <w:bCs/>
                </w:rPr>
                <w:t>Compass MED D - Claim Adjustment and Refund Requests</w:t>
              </w:r>
            </w:hyperlink>
            <w:bookmarkEnd w:id="44"/>
            <w:r w:rsidRPr="00CA0EEB">
              <w:rPr>
                <w:rFonts w:ascii="Verdana" w:hAnsi="Verdana"/>
                <w:bCs/>
              </w:rPr>
              <w:t>.</w:t>
            </w:r>
          </w:p>
          <w:p w14:paraId="59BF74BA" w14:textId="77777777" w:rsidR="008C2DA7" w:rsidRPr="000B6501" w:rsidRDefault="008C2DA7" w:rsidP="008167F0">
            <w:pPr>
              <w:rPr>
                <w:rFonts w:ascii="Verdana" w:hAnsi="Verdana"/>
              </w:rPr>
            </w:pPr>
          </w:p>
          <w:p w14:paraId="20EDDF82" w14:textId="77777777" w:rsidR="008C2DA7" w:rsidRPr="000B6501" w:rsidRDefault="009852D6" w:rsidP="008167F0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  <w:b/>
                <w:bCs/>
              </w:rPr>
              <w:t>Note</w:t>
            </w:r>
            <w:r w:rsidR="008C2DA7" w:rsidRPr="000B6501">
              <w:rPr>
                <w:rFonts w:ascii="Verdana" w:hAnsi="Verdana"/>
                <w:b/>
                <w:bCs/>
              </w:rPr>
              <w:t>:</w:t>
            </w:r>
            <w:r w:rsidR="001701B1" w:rsidRPr="000B6501">
              <w:rPr>
                <w:rFonts w:ascii="Verdana" w:hAnsi="Verdana"/>
              </w:rPr>
              <w:t xml:space="preserve">  </w:t>
            </w:r>
            <w:r w:rsidR="008C2DA7" w:rsidRPr="000B6501">
              <w:rPr>
                <w:rFonts w:ascii="Verdana" w:hAnsi="Verdana"/>
              </w:rPr>
              <w:t>If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beneficiary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has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less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than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a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7-day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supply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hand,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093642">
              <w:rPr>
                <w:rFonts w:ascii="Verdana" w:hAnsi="Verdana"/>
              </w:rPr>
              <w:t>they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should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purchase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medication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at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exception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tier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cost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share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under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the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transition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8C2DA7" w:rsidRPr="000B6501">
              <w:rPr>
                <w:rFonts w:ascii="Verdana" w:hAnsi="Verdana"/>
              </w:rPr>
              <w:t>fill.</w:t>
            </w:r>
            <w:r w:rsidR="001701B1" w:rsidRPr="000B6501">
              <w:rPr>
                <w:rFonts w:ascii="Verdana" w:hAnsi="Verdana"/>
              </w:rPr>
              <w:t xml:space="preserve"> </w:t>
            </w:r>
          </w:p>
          <w:p w14:paraId="60A45332" w14:textId="77777777" w:rsidR="008C2DA7" w:rsidRPr="000B6501" w:rsidRDefault="008C2DA7" w:rsidP="008167F0">
            <w:pPr>
              <w:pStyle w:val="ListParagraph"/>
              <w:ind w:left="1080"/>
              <w:contextualSpacing w:val="0"/>
              <w:rPr>
                <w:rFonts w:ascii="Verdana" w:hAnsi="Verdana"/>
              </w:rPr>
            </w:pPr>
          </w:p>
          <w:p w14:paraId="1B187E42" w14:textId="5FB509C0" w:rsidR="008C2DA7" w:rsidRPr="00CA0EEB" w:rsidRDefault="008C2DA7" w:rsidP="001D732E">
            <w:pPr>
              <w:rPr>
                <w:rFonts w:ascii="Verdana" w:hAnsi="Verdana"/>
              </w:rPr>
            </w:pPr>
            <w:r w:rsidRPr="000B6501">
              <w:rPr>
                <w:rFonts w:ascii="Verdana" w:hAnsi="Verdana"/>
              </w:rPr>
              <w:t>Ref</w:t>
            </w:r>
            <w:r w:rsidR="00121E7C" w:rsidRPr="000B6501">
              <w:rPr>
                <w:rFonts w:ascii="Verdana" w:hAnsi="Verdana"/>
              </w:rPr>
              <w:t>er</w:t>
            </w:r>
            <w:r w:rsidR="001701B1" w:rsidRPr="000B6501">
              <w:rPr>
                <w:rFonts w:ascii="Verdana" w:hAnsi="Verdana"/>
              </w:rPr>
              <w:t xml:space="preserve"> </w:t>
            </w:r>
            <w:r w:rsidR="00121E7C" w:rsidRPr="000B6501">
              <w:rPr>
                <w:rFonts w:ascii="Verdana" w:hAnsi="Verdana"/>
              </w:rPr>
              <w:t>to</w:t>
            </w:r>
            <w:r w:rsidR="001701B1" w:rsidRPr="000B6501">
              <w:rPr>
                <w:rFonts w:ascii="Verdana" w:hAnsi="Verdana"/>
              </w:rPr>
              <w:t xml:space="preserve"> </w:t>
            </w:r>
            <w:hyperlink r:id="rId46" w:history="1">
              <w:r w:rsidR="00CA0EEB" w:rsidRPr="00CA0EEB">
                <w:rPr>
                  <w:rStyle w:val="Hyperlink"/>
                  <w:rFonts w:ascii="Verdana" w:hAnsi="Verdana"/>
                </w:rPr>
                <w:t xml:space="preserve">Compass </w:t>
              </w:r>
              <w:r w:rsidR="00CA0EEB" w:rsidRPr="00CA0EEB">
                <w:rPr>
                  <w:rStyle w:val="Hyperlink"/>
                  <w:rFonts w:ascii="Verdana" w:hAnsi="Verdana"/>
                  <w:bCs/>
                </w:rPr>
                <w:t>MED D - Coverage Determinations and Redeterminations (Appeals)</w:t>
              </w:r>
            </w:hyperlink>
            <w:r w:rsidR="001D732E" w:rsidRPr="00CA0EEB">
              <w:rPr>
                <w:rFonts w:ascii="Verdana" w:hAnsi="Verdana"/>
              </w:rPr>
              <w:t>.</w:t>
            </w:r>
          </w:p>
          <w:p w14:paraId="15B05C55" w14:textId="77777777" w:rsidR="000B6501" w:rsidRPr="000B6501" w:rsidRDefault="000B6501" w:rsidP="001D732E">
            <w:pPr>
              <w:rPr>
                <w:rFonts w:ascii="Verdana" w:hAnsi="Verdana"/>
                <w:bCs/>
                <w:color w:val="333333"/>
              </w:rPr>
            </w:pPr>
          </w:p>
        </w:tc>
      </w:tr>
    </w:tbl>
    <w:p w14:paraId="19B85C98" w14:textId="77777777" w:rsidR="00D717C5" w:rsidRDefault="00D717C5" w:rsidP="00FD7648">
      <w:pPr>
        <w:jc w:val="right"/>
        <w:rPr>
          <w:rFonts w:ascii="Verdana" w:hAnsi="Verdana"/>
        </w:rPr>
      </w:pPr>
    </w:p>
    <w:p w14:paraId="50C4FBD3" w14:textId="77777777" w:rsidR="00820709" w:rsidRDefault="00820709" w:rsidP="00FD7648">
      <w:pPr>
        <w:jc w:val="right"/>
        <w:rPr>
          <w:rFonts w:ascii="Verdana" w:hAnsi="Verdana"/>
        </w:rPr>
      </w:pPr>
    </w:p>
    <w:p w14:paraId="2FFDA7DE" w14:textId="77777777" w:rsidR="00820709" w:rsidRPr="000B6501" w:rsidRDefault="00820709" w:rsidP="00FD7648">
      <w:pPr>
        <w:jc w:val="right"/>
        <w:rPr>
          <w:rFonts w:ascii="Verdana" w:hAnsi="Verdana"/>
        </w:rPr>
      </w:pPr>
    </w:p>
    <w:p w14:paraId="311DBDCD" w14:textId="77777777" w:rsidR="00FD7648" w:rsidRPr="000B6501" w:rsidRDefault="00FD7648" w:rsidP="00FD7648">
      <w:pPr>
        <w:jc w:val="right"/>
        <w:rPr>
          <w:rFonts w:ascii="Verdana" w:hAnsi="Verdana"/>
        </w:rPr>
      </w:pPr>
      <w:hyperlink w:anchor="_top" w:history="1">
        <w:r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D7648" w:rsidRPr="008167F0" w14:paraId="76538212" w14:textId="77777777" w:rsidTr="001D732E">
        <w:tc>
          <w:tcPr>
            <w:tcW w:w="5000" w:type="pct"/>
            <w:shd w:val="clear" w:color="auto" w:fill="C0C0C0"/>
          </w:tcPr>
          <w:p w14:paraId="5D072641" w14:textId="77777777" w:rsidR="00FD7648" w:rsidRPr="00121E7C" w:rsidRDefault="00FD7648" w:rsidP="007E61E8">
            <w:pPr>
              <w:pStyle w:val="Heading2"/>
              <w:rPr>
                <w:rFonts w:ascii="Verdana" w:hAnsi="Verdana"/>
                <w:i w:val="0"/>
              </w:rPr>
            </w:pPr>
            <w:bookmarkStart w:id="45" w:name="_Toc149848636"/>
            <w:r>
              <w:rPr>
                <w:rFonts w:ascii="Verdana" w:hAnsi="Verdana"/>
                <w:i w:val="0"/>
              </w:rPr>
              <w:t>Related</w:t>
            </w:r>
            <w:r w:rsidR="001701B1">
              <w:rPr>
                <w:rFonts w:ascii="Verdana" w:hAnsi="Verdana"/>
                <w:i w:val="0"/>
              </w:rPr>
              <w:t xml:space="preserve"> </w:t>
            </w:r>
            <w:r>
              <w:rPr>
                <w:rFonts w:ascii="Verdana" w:hAnsi="Verdana"/>
                <w:i w:val="0"/>
              </w:rPr>
              <w:t>Documents</w:t>
            </w:r>
            <w:bookmarkEnd w:id="45"/>
          </w:p>
        </w:tc>
      </w:tr>
    </w:tbl>
    <w:p w14:paraId="7CB1F368" w14:textId="60FD8235" w:rsidR="001D732E" w:rsidRPr="000B6501" w:rsidRDefault="001D732E">
      <w:pPr>
        <w:numPr>
          <w:ilvl w:val="0"/>
          <w:numId w:val="41"/>
        </w:numPr>
        <w:rPr>
          <w:rFonts w:ascii="Verdana" w:hAnsi="Verdana"/>
        </w:rPr>
      </w:pPr>
      <w:r w:rsidRPr="000B6501">
        <w:rPr>
          <w:rFonts w:ascii="Verdana" w:hAnsi="Verdana" w:cs="Verdana"/>
        </w:rPr>
        <w:t>Grievance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Standard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Verbiage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(for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use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in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Discussion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with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Beneficiary)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section</w:t>
      </w:r>
      <w:r w:rsidR="001701B1" w:rsidRPr="000B6501">
        <w:rPr>
          <w:rFonts w:ascii="Verdana" w:hAnsi="Verdana" w:cs="Verdana"/>
        </w:rPr>
        <w:t xml:space="preserve"> </w:t>
      </w:r>
      <w:r w:rsidRPr="000B6501">
        <w:rPr>
          <w:rFonts w:ascii="Verdana" w:hAnsi="Verdana" w:cs="Verdana"/>
        </w:rPr>
        <w:t>in</w:t>
      </w:r>
      <w:r w:rsidR="001701B1" w:rsidRPr="000B6501">
        <w:rPr>
          <w:rFonts w:ascii="Verdana" w:hAnsi="Verdana" w:cs="Verdana"/>
        </w:rPr>
        <w:t xml:space="preserve"> </w:t>
      </w:r>
      <w:hyperlink r:id="rId47" w:history="1">
        <w:r w:rsidR="00F6730D" w:rsidRPr="000B6501">
          <w:rPr>
            <w:rFonts w:ascii="Verdana" w:hAnsi="Verdana" w:cs="Verdana"/>
            <w:color w:val="0000FF"/>
            <w:u w:val="single"/>
          </w:rPr>
          <w:t>MED D - Grievances Index</w:t>
        </w:r>
      </w:hyperlink>
    </w:p>
    <w:p w14:paraId="51D3DB2F" w14:textId="7771F65D" w:rsidR="00FD7648" w:rsidRPr="000B6501" w:rsidRDefault="00CA0EEB" w:rsidP="00CA0EEB">
      <w:pPr>
        <w:numPr>
          <w:ilvl w:val="0"/>
          <w:numId w:val="41"/>
        </w:numPr>
        <w:rPr>
          <w:rFonts w:ascii="Verdana" w:hAnsi="Verdana"/>
        </w:rPr>
      </w:pPr>
      <w:hyperlink r:id="rId48" w:history="1">
        <w:r w:rsidRPr="00CA0EEB">
          <w:rPr>
            <w:rStyle w:val="Hyperlink"/>
            <w:rFonts w:ascii="Verdana" w:hAnsi="Verdana"/>
          </w:rPr>
          <w:t>Compass - Courtesy Retranslation Support Task (Bulk Up, Downsizing an Rx, and Variable Fill Requests)</w:t>
        </w:r>
      </w:hyperlink>
    </w:p>
    <w:p w14:paraId="478C8466" w14:textId="77777777" w:rsidR="001D732E" w:rsidRPr="000B6501" w:rsidRDefault="001D732E" w:rsidP="001D732E">
      <w:pPr>
        <w:rPr>
          <w:rFonts w:ascii="Verdana" w:hAnsi="Verdana"/>
        </w:rPr>
      </w:pPr>
    </w:p>
    <w:p w14:paraId="74C00D3A" w14:textId="77777777" w:rsidR="001D732E" w:rsidRPr="000B6501" w:rsidRDefault="001D732E" w:rsidP="001D732E">
      <w:pPr>
        <w:rPr>
          <w:rFonts w:ascii="Verdana" w:hAnsi="Verdana"/>
          <w:b/>
        </w:rPr>
      </w:pPr>
      <w:r w:rsidRPr="000B6501">
        <w:rPr>
          <w:rFonts w:ascii="Verdana" w:hAnsi="Verdana"/>
          <w:b/>
        </w:rPr>
        <w:t>Parent</w:t>
      </w:r>
      <w:r w:rsidR="001701B1" w:rsidRPr="000B6501">
        <w:rPr>
          <w:rFonts w:ascii="Verdana" w:hAnsi="Verdana"/>
          <w:b/>
        </w:rPr>
        <w:t xml:space="preserve"> </w:t>
      </w:r>
      <w:r w:rsidRPr="000B6501">
        <w:rPr>
          <w:rFonts w:ascii="Verdana" w:hAnsi="Verdana"/>
          <w:b/>
        </w:rPr>
        <w:t>SOP:</w:t>
      </w:r>
    </w:p>
    <w:p w14:paraId="06C8518D" w14:textId="77777777" w:rsidR="001D732E" w:rsidRPr="000B6501" w:rsidRDefault="001D732E" w:rsidP="00474631">
      <w:pPr>
        <w:numPr>
          <w:ilvl w:val="0"/>
          <w:numId w:val="2"/>
        </w:numPr>
        <w:rPr>
          <w:rStyle w:val="Hyperlink"/>
          <w:rFonts w:ascii="Verdana" w:hAnsi="Verdana"/>
          <w:color w:val="auto"/>
          <w:u w:val="none"/>
        </w:rPr>
      </w:pPr>
      <w:r w:rsidRPr="000B6501">
        <w:rPr>
          <w:rFonts w:ascii="Verdana" w:hAnsi="Verdana"/>
          <w:bCs/>
        </w:rPr>
        <w:t>CALL-0048:</w:t>
      </w:r>
      <w:r w:rsidR="001701B1" w:rsidRPr="000B6501">
        <w:rPr>
          <w:rFonts w:ascii="Verdana" w:hAnsi="Verdana"/>
          <w:bCs/>
          <w:color w:val="333333"/>
        </w:rPr>
        <w:t xml:space="preserve">  </w:t>
      </w:r>
      <w:hyperlink r:id="rId49" w:tgtFrame="_blank" w:history="1">
        <w:r w:rsidRPr="000B6501">
          <w:rPr>
            <w:rStyle w:val="Hyperlink"/>
            <w:rFonts w:ascii="Verdana" w:hAnsi="Verdana"/>
            <w:bCs/>
          </w:rPr>
          <w:t>Medicare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Part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D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Customer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Care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Call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Center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Requirements-CVS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Caremark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Part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D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Services,</w:t>
        </w:r>
        <w:r w:rsidR="001701B1" w:rsidRPr="000B6501">
          <w:rPr>
            <w:rStyle w:val="Hyperlink"/>
            <w:rFonts w:ascii="Verdana" w:hAnsi="Verdana"/>
            <w:bCs/>
          </w:rPr>
          <w:t xml:space="preserve"> </w:t>
        </w:r>
        <w:r w:rsidRPr="000B6501">
          <w:rPr>
            <w:rStyle w:val="Hyperlink"/>
            <w:rFonts w:ascii="Verdana" w:hAnsi="Verdana"/>
            <w:bCs/>
          </w:rPr>
          <w:t>L.L.C.</w:t>
        </w:r>
      </w:hyperlink>
    </w:p>
    <w:p w14:paraId="4DED3BDA" w14:textId="77777777" w:rsidR="001D732E" w:rsidRPr="000B6501" w:rsidRDefault="001D732E" w:rsidP="00474631">
      <w:pPr>
        <w:numPr>
          <w:ilvl w:val="0"/>
          <w:numId w:val="2"/>
        </w:numPr>
        <w:rPr>
          <w:rFonts w:ascii="Verdana" w:hAnsi="Verdana"/>
        </w:rPr>
      </w:pPr>
      <w:r w:rsidRPr="000B6501">
        <w:rPr>
          <w:rFonts w:ascii="Verdana" w:hAnsi="Verdana"/>
        </w:rPr>
        <w:t>MEDAFF-0029:</w:t>
      </w:r>
      <w:r w:rsidR="001701B1" w:rsidRPr="000B6501">
        <w:rPr>
          <w:rFonts w:ascii="Verdana" w:hAnsi="Verdana"/>
        </w:rPr>
        <w:t xml:space="preserve">  </w:t>
      </w:r>
      <w:hyperlink r:id="rId50" w:history="1">
        <w:r w:rsidRPr="000B6501">
          <w:rPr>
            <w:rStyle w:val="Hyperlink"/>
            <w:rFonts w:ascii="Verdana" w:hAnsi="Verdana"/>
          </w:rPr>
          <w:t>Medicare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Part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D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Transition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Process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-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CVS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Health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Sponsored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Prescription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Drug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Plans</w:t>
        </w:r>
      </w:hyperlink>
    </w:p>
    <w:p w14:paraId="211E0BCA" w14:textId="4570CEA2" w:rsidR="00FA7062" w:rsidRPr="000B6501" w:rsidRDefault="001D732E" w:rsidP="00FA7062">
      <w:pPr>
        <w:rPr>
          <w:rFonts w:ascii="Verdana" w:hAnsi="Verdana"/>
        </w:rPr>
      </w:pPr>
      <w:r w:rsidRPr="000B6501">
        <w:rPr>
          <w:rFonts w:ascii="Verdana" w:hAnsi="Verdana"/>
          <w:b/>
        </w:rPr>
        <w:t>Abbreviations/Definitions:</w:t>
      </w:r>
      <w:r w:rsidR="001701B1" w:rsidRPr="000B6501">
        <w:rPr>
          <w:rFonts w:ascii="Verdana" w:hAnsi="Verdana"/>
          <w:b/>
        </w:rPr>
        <w:t xml:space="preserve">  </w:t>
      </w:r>
      <w:hyperlink r:id="rId51" w:history="1">
        <w:r w:rsidRPr="000B6501">
          <w:rPr>
            <w:rStyle w:val="Hyperlink"/>
            <w:rFonts w:ascii="Verdana" w:hAnsi="Verdana"/>
          </w:rPr>
          <w:t>Abbreviations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/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Definitions</w:t>
        </w:r>
      </w:hyperlink>
    </w:p>
    <w:p w14:paraId="18B705F3" w14:textId="77777777" w:rsidR="00FA7062" w:rsidRPr="000B6501" w:rsidRDefault="00FA7062" w:rsidP="008167F0">
      <w:pPr>
        <w:jc w:val="right"/>
        <w:rPr>
          <w:rFonts w:ascii="Verdana" w:hAnsi="Verdana"/>
        </w:rPr>
      </w:pPr>
    </w:p>
    <w:p w14:paraId="406BEC48" w14:textId="77777777" w:rsidR="00FC1C44" w:rsidRPr="000B6501" w:rsidRDefault="004861BB" w:rsidP="008167F0">
      <w:pPr>
        <w:jc w:val="right"/>
        <w:rPr>
          <w:rFonts w:ascii="Verdana" w:hAnsi="Verdana"/>
        </w:rPr>
      </w:pPr>
      <w:hyperlink w:anchor="_top" w:history="1">
        <w:r w:rsidRPr="000B6501">
          <w:rPr>
            <w:rStyle w:val="Hyperlink"/>
            <w:rFonts w:ascii="Verdana" w:hAnsi="Verdana"/>
          </w:rPr>
          <w:t>Top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of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the</w:t>
        </w:r>
        <w:r w:rsidR="001701B1" w:rsidRPr="000B6501">
          <w:rPr>
            <w:rStyle w:val="Hyperlink"/>
            <w:rFonts w:ascii="Verdana" w:hAnsi="Verdana"/>
          </w:rPr>
          <w:t xml:space="preserve"> </w:t>
        </w:r>
        <w:r w:rsidRPr="000B6501">
          <w:rPr>
            <w:rStyle w:val="Hyperlink"/>
            <w:rFonts w:ascii="Verdana" w:hAnsi="Verdana"/>
          </w:rPr>
          <w:t>Document</w:t>
        </w:r>
      </w:hyperlink>
    </w:p>
    <w:p w14:paraId="0754580F" w14:textId="77777777" w:rsidR="00370B24" w:rsidRPr="000B6501" w:rsidRDefault="00370B24" w:rsidP="008167F0">
      <w:pPr>
        <w:jc w:val="right"/>
        <w:rPr>
          <w:rFonts w:ascii="Verdana" w:hAnsi="Verdana"/>
          <w:color w:val="000000"/>
        </w:rPr>
      </w:pPr>
    </w:p>
    <w:p w14:paraId="49C2D904" w14:textId="77777777" w:rsidR="002A24A2" w:rsidRPr="008167F0" w:rsidRDefault="002A24A2" w:rsidP="008167F0">
      <w:pPr>
        <w:jc w:val="center"/>
        <w:rPr>
          <w:rFonts w:ascii="Verdana" w:hAnsi="Verdana"/>
          <w:sz w:val="16"/>
          <w:szCs w:val="16"/>
        </w:rPr>
      </w:pPr>
      <w:r w:rsidRPr="008167F0">
        <w:rPr>
          <w:rFonts w:ascii="Verdana" w:hAnsi="Verdana"/>
          <w:sz w:val="16"/>
          <w:szCs w:val="16"/>
        </w:rPr>
        <w:t>Not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to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Be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Reproduced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or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Disclosed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to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Others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without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Prior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Written</w:t>
      </w:r>
      <w:r w:rsidR="001701B1">
        <w:rPr>
          <w:rFonts w:ascii="Verdana" w:hAnsi="Verdana"/>
          <w:sz w:val="16"/>
          <w:szCs w:val="16"/>
        </w:rPr>
        <w:t xml:space="preserve"> </w:t>
      </w:r>
      <w:r w:rsidRPr="008167F0">
        <w:rPr>
          <w:rFonts w:ascii="Verdana" w:hAnsi="Verdana"/>
          <w:sz w:val="16"/>
          <w:szCs w:val="16"/>
        </w:rPr>
        <w:t>Approval</w:t>
      </w:r>
    </w:p>
    <w:p w14:paraId="530C56AD" w14:textId="17D1D8CF" w:rsidR="00370B24" w:rsidRPr="008167F0" w:rsidRDefault="002A24A2" w:rsidP="008167F0">
      <w:pPr>
        <w:jc w:val="center"/>
        <w:rPr>
          <w:rFonts w:ascii="Verdana" w:hAnsi="Verdana"/>
          <w:color w:val="000000"/>
          <w:sz w:val="16"/>
          <w:szCs w:val="16"/>
        </w:rPr>
      </w:pPr>
      <w:r w:rsidRPr="008167F0">
        <w:rPr>
          <w:rFonts w:ascii="Verdana" w:hAnsi="Verdana"/>
          <w:b/>
          <w:color w:val="000000"/>
          <w:sz w:val="16"/>
          <w:szCs w:val="16"/>
        </w:rPr>
        <w:t>ELECTRONIC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DATA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=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OFFICIAL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VERSION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853B2B">
        <w:rPr>
          <w:rFonts w:ascii="Verdana" w:hAnsi="Verdana"/>
          <w:b/>
          <w:color w:val="000000"/>
          <w:sz w:val="16"/>
          <w:szCs w:val="16"/>
        </w:rPr>
        <w:t>/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853B2B">
        <w:rPr>
          <w:rFonts w:ascii="Verdana" w:hAnsi="Verdana"/>
          <w:b/>
          <w:color w:val="000000"/>
          <w:sz w:val="16"/>
          <w:szCs w:val="16"/>
        </w:rPr>
        <w:t>PAPER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853B2B">
        <w:rPr>
          <w:rFonts w:ascii="Verdana" w:hAnsi="Verdana"/>
          <w:b/>
          <w:color w:val="000000"/>
          <w:sz w:val="16"/>
          <w:szCs w:val="16"/>
        </w:rPr>
        <w:t>COPY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853B2B">
        <w:rPr>
          <w:rFonts w:ascii="Verdana" w:hAnsi="Verdana"/>
          <w:b/>
          <w:color w:val="000000"/>
          <w:sz w:val="16"/>
          <w:szCs w:val="16"/>
        </w:rPr>
        <w:t>=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INFORMATIONAL</w:t>
      </w:r>
      <w:r w:rsidR="001701B1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8167F0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370B24" w:rsidRPr="008167F0" w:rsidSect="00303F88">
      <w:footerReference w:type="default" r:id="rId5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203C8" w14:textId="77777777" w:rsidR="00A36E62" w:rsidRDefault="00A36E62">
      <w:r>
        <w:separator/>
      </w:r>
    </w:p>
  </w:endnote>
  <w:endnote w:type="continuationSeparator" w:id="0">
    <w:p w14:paraId="56F4F807" w14:textId="77777777" w:rsidR="00A36E62" w:rsidRDefault="00A36E62">
      <w:r>
        <w:continuationSeparator/>
      </w:r>
    </w:p>
  </w:endnote>
  <w:endnote w:type="continuationNotice" w:id="1">
    <w:p w14:paraId="285BEB8B" w14:textId="77777777" w:rsidR="00A36E62" w:rsidRDefault="00A36E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CCCF0" w14:textId="77777777" w:rsidR="00B80F9E" w:rsidRDefault="00B80F9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5EAECB4F" w14:textId="77777777" w:rsidR="00B80F9E" w:rsidRDefault="00B80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D6B7D" w14:textId="77777777" w:rsidR="00A36E62" w:rsidRDefault="00A36E62">
      <w:r>
        <w:separator/>
      </w:r>
    </w:p>
  </w:footnote>
  <w:footnote w:type="continuationSeparator" w:id="0">
    <w:p w14:paraId="57F94ED8" w14:textId="77777777" w:rsidR="00A36E62" w:rsidRDefault="00A36E62">
      <w:r>
        <w:continuationSeparator/>
      </w:r>
    </w:p>
  </w:footnote>
  <w:footnote w:type="continuationNotice" w:id="1">
    <w:p w14:paraId="069CF92F" w14:textId="77777777" w:rsidR="00A36E62" w:rsidRDefault="00A36E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alt="image2s" style="width:23.75pt;height:23.75pt;visibility:visible" o:bullet="t">
        <v:imagedata r:id="rId1" o:title="image2s"/>
      </v:shape>
    </w:pict>
  </w:numPicBullet>
  <w:numPicBullet w:numPicBulletId="1">
    <w:pict>
      <v:shape id="_x0000_i1119" type="#_x0000_t75" style="width:19pt;height:16.3pt" o:bullet="t">
        <v:imagedata r:id="rId2" o:title="Icon_-_Important_Information"/>
      </v:shape>
    </w:pict>
  </w:numPicBullet>
  <w:numPicBullet w:numPicBulletId="2">
    <w:pict>
      <v:shape id="_x0000_i1120" type="#_x0000_t75" style="width:19pt;height:16.3pt" o:bullet="t">
        <v:imagedata r:id="rId3" o:title="Icon_-_Conversation"/>
      </v:shape>
    </w:pict>
  </w:numPicBullet>
  <w:abstractNum w:abstractNumId="0" w15:restartNumberingAfterBreak="0">
    <w:nsid w:val="000C0BCD"/>
    <w:multiLevelType w:val="hybridMultilevel"/>
    <w:tmpl w:val="3F562374"/>
    <w:lvl w:ilvl="0" w:tplc="9606F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9092F"/>
    <w:multiLevelType w:val="hybridMultilevel"/>
    <w:tmpl w:val="279C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A2912"/>
    <w:multiLevelType w:val="hybridMultilevel"/>
    <w:tmpl w:val="B28E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7105C"/>
    <w:multiLevelType w:val="hybridMultilevel"/>
    <w:tmpl w:val="9D1C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C7E3D"/>
    <w:multiLevelType w:val="hybridMultilevel"/>
    <w:tmpl w:val="A176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A07C7"/>
    <w:multiLevelType w:val="hybridMultilevel"/>
    <w:tmpl w:val="32C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F40F0"/>
    <w:multiLevelType w:val="hybridMultilevel"/>
    <w:tmpl w:val="E4D2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B1CF3"/>
    <w:multiLevelType w:val="hybridMultilevel"/>
    <w:tmpl w:val="8046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9181F"/>
    <w:multiLevelType w:val="hybridMultilevel"/>
    <w:tmpl w:val="9974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38B"/>
    <w:multiLevelType w:val="hybridMultilevel"/>
    <w:tmpl w:val="5258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55D75"/>
    <w:multiLevelType w:val="hybridMultilevel"/>
    <w:tmpl w:val="FA84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A4948"/>
    <w:multiLevelType w:val="hybridMultilevel"/>
    <w:tmpl w:val="2820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E1D2C"/>
    <w:multiLevelType w:val="hybridMultilevel"/>
    <w:tmpl w:val="B6BC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4550F"/>
    <w:multiLevelType w:val="hybridMultilevel"/>
    <w:tmpl w:val="B4D4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C6753"/>
    <w:multiLevelType w:val="hybridMultilevel"/>
    <w:tmpl w:val="2BD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6A00A4"/>
    <w:multiLevelType w:val="hybridMultilevel"/>
    <w:tmpl w:val="884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D7CD7"/>
    <w:multiLevelType w:val="hybridMultilevel"/>
    <w:tmpl w:val="1A90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E26D1"/>
    <w:multiLevelType w:val="hybridMultilevel"/>
    <w:tmpl w:val="D60C0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1503FC0"/>
    <w:multiLevelType w:val="hybridMultilevel"/>
    <w:tmpl w:val="E1F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008F"/>
    <w:multiLevelType w:val="hybridMultilevel"/>
    <w:tmpl w:val="4664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B757C"/>
    <w:multiLevelType w:val="hybridMultilevel"/>
    <w:tmpl w:val="325ED0D4"/>
    <w:lvl w:ilvl="0" w:tplc="AFD86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CE73D1"/>
    <w:multiLevelType w:val="hybridMultilevel"/>
    <w:tmpl w:val="C332E3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C4A56CD"/>
    <w:multiLevelType w:val="hybridMultilevel"/>
    <w:tmpl w:val="7826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764E4"/>
    <w:multiLevelType w:val="multilevel"/>
    <w:tmpl w:val="854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9C520A"/>
    <w:multiLevelType w:val="hybridMultilevel"/>
    <w:tmpl w:val="0D46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8F5DD5"/>
    <w:multiLevelType w:val="hybridMultilevel"/>
    <w:tmpl w:val="8526A0B4"/>
    <w:lvl w:ilvl="0" w:tplc="AF4C7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5662"/>
    <w:multiLevelType w:val="hybridMultilevel"/>
    <w:tmpl w:val="73A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D04CBD"/>
    <w:multiLevelType w:val="hybridMultilevel"/>
    <w:tmpl w:val="5C98A8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CD92217"/>
    <w:multiLevelType w:val="hybridMultilevel"/>
    <w:tmpl w:val="18C0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22884"/>
    <w:multiLevelType w:val="hybridMultilevel"/>
    <w:tmpl w:val="CCDA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6D1759"/>
    <w:multiLevelType w:val="multilevel"/>
    <w:tmpl w:val="ADE8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892B40"/>
    <w:multiLevelType w:val="multilevel"/>
    <w:tmpl w:val="F7A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3893011"/>
    <w:multiLevelType w:val="hybridMultilevel"/>
    <w:tmpl w:val="63345134"/>
    <w:lvl w:ilvl="0" w:tplc="B8B46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166ECF"/>
    <w:multiLevelType w:val="hybridMultilevel"/>
    <w:tmpl w:val="8B4093FA"/>
    <w:lvl w:ilvl="0" w:tplc="444EC86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CA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181A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8C52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2C15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C0A3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124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E00D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9A00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4BB34F0F"/>
    <w:multiLevelType w:val="hybridMultilevel"/>
    <w:tmpl w:val="565A3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C9F35DE"/>
    <w:multiLevelType w:val="hybridMultilevel"/>
    <w:tmpl w:val="6D944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D0A3FB0"/>
    <w:multiLevelType w:val="hybridMultilevel"/>
    <w:tmpl w:val="FA9E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7D479B"/>
    <w:multiLevelType w:val="hybridMultilevel"/>
    <w:tmpl w:val="B428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AF6574"/>
    <w:multiLevelType w:val="hybridMultilevel"/>
    <w:tmpl w:val="C91E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232B29"/>
    <w:multiLevelType w:val="hybridMultilevel"/>
    <w:tmpl w:val="D0DE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E15DB9"/>
    <w:multiLevelType w:val="multilevel"/>
    <w:tmpl w:val="BCE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83C502D"/>
    <w:multiLevelType w:val="hybridMultilevel"/>
    <w:tmpl w:val="1A4A0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8C71A4A"/>
    <w:multiLevelType w:val="hybridMultilevel"/>
    <w:tmpl w:val="9EF6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B25171"/>
    <w:multiLevelType w:val="hybridMultilevel"/>
    <w:tmpl w:val="1FB8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931358"/>
    <w:multiLevelType w:val="hybridMultilevel"/>
    <w:tmpl w:val="6378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58598D"/>
    <w:multiLevelType w:val="hybridMultilevel"/>
    <w:tmpl w:val="FA6A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CC3ED5"/>
    <w:multiLevelType w:val="hybridMultilevel"/>
    <w:tmpl w:val="4CAE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BE16D7"/>
    <w:multiLevelType w:val="hybridMultilevel"/>
    <w:tmpl w:val="E6B4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3C39B5"/>
    <w:multiLevelType w:val="hybridMultilevel"/>
    <w:tmpl w:val="488E0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15B32D0"/>
    <w:multiLevelType w:val="multilevel"/>
    <w:tmpl w:val="322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2A512EC"/>
    <w:multiLevelType w:val="hybridMultilevel"/>
    <w:tmpl w:val="75047C1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4B66285"/>
    <w:multiLevelType w:val="hybridMultilevel"/>
    <w:tmpl w:val="BA54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497D8E"/>
    <w:multiLevelType w:val="hybridMultilevel"/>
    <w:tmpl w:val="F9A0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2027BF"/>
    <w:multiLevelType w:val="hybridMultilevel"/>
    <w:tmpl w:val="7504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67146F"/>
    <w:multiLevelType w:val="hybridMultilevel"/>
    <w:tmpl w:val="0D909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4D1FC7"/>
    <w:multiLevelType w:val="hybridMultilevel"/>
    <w:tmpl w:val="A17E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4F5D97"/>
    <w:multiLevelType w:val="hybridMultilevel"/>
    <w:tmpl w:val="63201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30C53C1"/>
    <w:multiLevelType w:val="hybridMultilevel"/>
    <w:tmpl w:val="C1961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36704A7"/>
    <w:multiLevelType w:val="hybridMultilevel"/>
    <w:tmpl w:val="FB9A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413965"/>
    <w:multiLevelType w:val="hybridMultilevel"/>
    <w:tmpl w:val="1180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ED4E9D"/>
    <w:multiLevelType w:val="hybridMultilevel"/>
    <w:tmpl w:val="3114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463E73"/>
    <w:multiLevelType w:val="hybridMultilevel"/>
    <w:tmpl w:val="4FC84190"/>
    <w:lvl w:ilvl="0" w:tplc="AFD86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E04532"/>
    <w:multiLevelType w:val="hybridMultilevel"/>
    <w:tmpl w:val="A5E8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A84E87"/>
    <w:multiLevelType w:val="hybridMultilevel"/>
    <w:tmpl w:val="8A7C1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C290EF8"/>
    <w:multiLevelType w:val="hybridMultilevel"/>
    <w:tmpl w:val="CC823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774130">
    <w:abstractNumId w:val="59"/>
  </w:num>
  <w:num w:numId="2" w16cid:durableId="367681402">
    <w:abstractNumId w:val="25"/>
  </w:num>
  <w:num w:numId="3" w16cid:durableId="61874035">
    <w:abstractNumId w:val="29"/>
  </w:num>
  <w:num w:numId="4" w16cid:durableId="859583876">
    <w:abstractNumId w:val="20"/>
  </w:num>
  <w:num w:numId="5" w16cid:durableId="1095976898">
    <w:abstractNumId w:val="22"/>
  </w:num>
  <w:num w:numId="6" w16cid:durableId="275136645">
    <w:abstractNumId w:val="64"/>
  </w:num>
  <w:num w:numId="7" w16cid:durableId="1872381750">
    <w:abstractNumId w:val="47"/>
  </w:num>
  <w:num w:numId="8" w16cid:durableId="415632560">
    <w:abstractNumId w:val="46"/>
  </w:num>
  <w:num w:numId="9" w16cid:durableId="1661884492">
    <w:abstractNumId w:val="43"/>
  </w:num>
  <w:num w:numId="10" w16cid:durableId="314067667">
    <w:abstractNumId w:val="37"/>
  </w:num>
  <w:num w:numId="11" w16cid:durableId="1389378108">
    <w:abstractNumId w:val="3"/>
  </w:num>
  <w:num w:numId="12" w16cid:durableId="1136066721">
    <w:abstractNumId w:val="44"/>
  </w:num>
  <w:num w:numId="13" w16cid:durableId="1251506163">
    <w:abstractNumId w:val="34"/>
  </w:num>
  <w:num w:numId="14" w16cid:durableId="1756050693">
    <w:abstractNumId w:val="9"/>
  </w:num>
  <w:num w:numId="15" w16cid:durableId="1362976131">
    <w:abstractNumId w:val="56"/>
  </w:num>
  <w:num w:numId="16" w16cid:durableId="896282320">
    <w:abstractNumId w:val="54"/>
  </w:num>
  <w:num w:numId="17" w16cid:durableId="274410672">
    <w:abstractNumId w:val="17"/>
  </w:num>
  <w:num w:numId="18" w16cid:durableId="287518916">
    <w:abstractNumId w:val="6"/>
  </w:num>
  <w:num w:numId="19" w16cid:durableId="462431345">
    <w:abstractNumId w:val="62"/>
  </w:num>
  <w:num w:numId="20" w16cid:durableId="1010713836">
    <w:abstractNumId w:val="36"/>
  </w:num>
  <w:num w:numId="21" w16cid:durableId="1290284464">
    <w:abstractNumId w:val="10"/>
  </w:num>
  <w:num w:numId="22" w16cid:durableId="2125152246">
    <w:abstractNumId w:val="42"/>
  </w:num>
  <w:num w:numId="23" w16cid:durableId="2137335690">
    <w:abstractNumId w:val="1"/>
  </w:num>
  <w:num w:numId="24" w16cid:durableId="452211451">
    <w:abstractNumId w:val="24"/>
  </w:num>
  <w:num w:numId="25" w16cid:durableId="2067298503">
    <w:abstractNumId w:val="45"/>
  </w:num>
  <w:num w:numId="26" w16cid:durableId="765468414">
    <w:abstractNumId w:val="4"/>
  </w:num>
  <w:num w:numId="27" w16cid:durableId="904025389">
    <w:abstractNumId w:val="19"/>
  </w:num>
  <w:num w:numId="28" w16cid:durableId="1579435404">
    <w:abstractNumId w:val="53"/>
  </w:num>
  <w:num w:numId="29" w16cid:durableId="1436055133">
    <w:abstractNumId w:val="2"/>
  </w:num>
  <w:num w:numId="30" w16cid:durableId="621110342">
    <w:abstractNumId w:val="35"/>
  </w:num>
  <w:num w:numId="31" w16cid:durableId="624890280">
    <w:abstractNumId w:val="63"/>
  </w:num>
  <w:num w:numId="32" w16cid:durableId="229779967">
    <w:abstractNumId w:val="41"/>
  </w:num>
  <w:num w:numId="33" w16cid:durableId="1647276908">
    <w:abstractNumId w:val="39"/>
  </w:num>
  <w:num w:numId="34" w16cid:durableId="915553582">
    <w:abstractNumId w:val="12"/>
  </w:num>
  <w:num w:numId="35" w16cid:durableId="1188254616">
    <w:abstractNumId w:val="15"/>
  </w:num>
  <w:num w:numId="36" w16cid:durableId="1122844402">
    <w:abstractNumId w:val="51"/>
  </w:num>
  <w:num w:numId="37" w16cid:durableId="252015575">
    <w:abstractNumId w:val="26"/>
  </w:num>
  <w:num w:numId="38" w16cid:durableId="1380787742">
    <w:abstractNumId w:val="14"/>
  </w:num>
  <w:num w:numId="39" w16cid:durableId="97484278">
    <w:abstractNumId w:val="28"/>
  </w:num>
  <w:num w:numId="40" w16cid:durableId="553735664">
    <w:abstractNumId w:val="18"/>
  </w:num>
  <w:num w:numId="41" w16cid:durableId="222061825">
    <w:abstractNumId w:val="5"/>
  </w:num>
  <w:num w:numId="42" w16cid:durableId="336540746">
    <w:abstractNumId w:val="0"/>
  </w:num>
  <w:num w:numId="43" w16cid:durableId="1017848996">
    <w:abstractNumId w:val="57"/>
  </w:num>
  <w:num w:numId="44" w16cid:durableId="1402559821">
    <w:abstractNumId w:val="48"/>
  </w:num>
  <w:num w:numId="45" w16cid:durableId="798498202">
    <w:abstractNumId w:val="61"/>
  </w:num>
  <w:num w:numId="46" w16cid:durableId="1496647269">
    <w:abstractNumId w:val="13"/>
  </w:num>
  <w:num w:numId="47" w16cid:durableId="243800826">
    <w:abstractNumId w:val="60"/>
  </w:num>
  <w:num w:numId="48" w16cid:durableId="476991718">
    <w:abstractNumId w:val="6"/>
  </w:num>
  <w:num w:numId="49" w16cid:durableId="1565483864">
    <w:abstractNumId w:val="36"/>
  </w:num>
  <w:num w:numId="50" w16cid:durableId="1850102941">
    <w:abstractNumId w:val="10"/>
  </w:num>
  <w:num w:numId="51" w16cid:durableId="1302804968">
    <w:abstractNumId w:val="11"/>
  </w:num>
  <w:num w:numId="52" w16cid:durableId="729231335">
    <w:abstractNumId w:val="57"/>
  </w:num>
  <w:num w:numId="53" w16cid:durableId="1629046551">
    <w:abstractNumId w:val="58"/>
  </w:num>
  <w:num w:numId="54" w16cid:durableId="9189362">
    <w:abstractNumId w:val="8"/>
  </w:num>
  <w:num w:numId="55" w16cid:durableId="7829084">
    <w:abstractNumId w:val="21"/>
  </w:num>
  <w:num w:numId="56" w16cid:durableId="1742144139">
    <w:abstractNumId w:val="27"/>
  </w:num>
  <w:num w:numId="57" w16cid:durableId="1234316812">
    <w:abstractNumId w:val="15"/>
  </w:num>
  <w:num w:numId="58" w16cid:durableId="818769337">
    <w:abstractNumId w:val="33"/>
  </w:num>
  <w:num w:numId="59" w16cid:durableId="460852690">
    <w:abstractNumId w:val="50"/>
  </w:num>
  <w:num w:numId="60" w16cid:durableId="433943548">
    <w:abstractNumId w:val="52"/>
  </w:num>
  <w:num w:numId="61" w16cid:durableId="1011564602">
    <w:abstractNumId w:val="16"/>
  </w:num>
  <w:num w:numId="62" w16cid:durableId="1751384951">
    <w:abstractNumId w:val="7"/>
  </w:num>
  <w:num w:numId="63" w16cid:durableId="580257803">
    <w:abstractNumId w:val="31"/>
  </w:num>
  <w:num w:numId="64" w16cid:durableId="350029125">
    <w:abstractNumId w:val="23"/>
  </w:num>
  <w:num w:numId="65" w16cid:durableId="265622324">
    <w:abstractNumId w:val="40"/>
  </w:num>
  <w:num w:numId="66" w16cid:durableId="1473253358">
    <w:abstractNumId w:val="49"/>
  </w:num>
  <w:num w:numId="67" w16cid:durableId="1594194861">
    <w:abstractNumId w:val="30"/>
  </w:num>
  <w:num w:numId="68" w16cid:durableId="618102214">
    <w:abstractNumId w:val="55"/>
  </w:num>
  <w:num w:numId="69" w16cid:durableId="2035228108">
    <w:abstractNumId w:val="38"/>
  </w:num>
  <w:num w:numId="70" w16cid:durableId="1901134919">
    <w:abstractNumId w:val="3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22A"/>
    <w:rsid w:val="00001093"/>
    <w:rsid w:val="00003785"/>
    <w:rsid w:val="00006CEF"/>
    <w:rsid w:val="00013CFC"/>
    <w:rsid w:val="0001421A"/>
    <w:rsid w:val="00015A2E"/>
    <w:rsid w:val="00021CDE"/>
    <w:rsid w:val="00025BF3"/>
    <w:rsid w:val="00026AA6"/>
    <w:rsid w:val="00032FD3"/>
    <w:rsid w:val="00036F3D"/>
    <w:rsid w:val="00037990"/>
    <w:rsid w:val="00050445"/>
    <w:rsid w:val="00050FCA"/>
    <w:rsid w:val="00056C41"/>
    <w:rsid w:val="00056E97"/>
    <w:rsid w:val="0006340C"/>
    <w:rsid w:val="000653A1"/>
    <w:rsid w:val="00071B62"/>
    <w:rsid w:val="00071EB3"/>
    <w:rsid w:val="000723B0"/>
    <w:rsid w:val="0007695A"/>
    <w:rsid w:val="000770DE"/>
    <w:rsid w:val="00077F42"/>
    <w:rsid w:val="00081A67"/>
    <w:rsid w:val="000825E5"/>
    <w:rsid w:val="0008665F"/>
    <w:rsid w:val="00091160"/>
    <w:rsid w:val="00093642"/>
    <w:rsid w:val="000A4058"/>
    <w:rsid w:val="000B2E61"/>
    <w:rsid w:val="000B3C4C"/>
    <w:rsid w:val="000B48D2"/>
    <w:rsid w:val="000B6501"/>
    <w:rsid w:val="000C1301"/>
    <w:rsid w:val="000D6714"/>
    <w:rsid w:val="000D793D"/>
    <w:rsid w:val="000E27C3"/>
    <w:rsid w:val="000E336E"/>
    <w:rsid w:val="000F3439"/>
    <w:rsid w:val="000F3EAD"/>
    <w:rsid w:val="000F4311"/>
    <w:rsid w:val="001037FB"/>
    <w:rsid w:val="001131FE"/>
    <w:rsid w:val="0011477C"/>
    <w:rsid w:val="001151E8"/>
    <w:rsid w:val="00115336"/>
    <w:rsid w:val="00115F43"/>
    <w:rsid w:val="001209B5"/>
    <w:rsid w:val="00121257"/>
    <w:rsid w:val="00121ABC"/>
    <w:rsid w:val="00121E7C"/>
    <w:rsid w:val="00126D80"/>
    <w:rsid w:val="00127DEB"/>
    <w:rsid w:val="001301B0"/>
    <w:rsid w:val="00133ABA"/>
    <w:rsid w:val="001462A7"/>
    <w:rsid w:val="001551FC"/>
    <w:rsid w:val="00156892"/>
    <w:rsid w:val="00160898"/>
    <w:rsid w:val="0016273A"/>
    <w:rsid w:val="001649E0"/>
    <w:rsid w:val="00166B66"/>
    <w:rsid w:val="00167D3F"/>
    <w:rsid w:val="001701B1"/>
    <w:rsid w:val="00172043"/>
    <w:rsid w:val="00172AF0"/>
    <w:rsid w:val="001736D9"/>
    <w:rsid w:val="001807A9"/>
    <w:rsid w:val="0018555B"/>
    <w:rsid w:val="0019353A"/>
    <w:rsid w:val="001938C2"/>
    <w:rsid w:val="00196DE7"/>
    <w:rsid w:val="001A3655"/>
    <w:rsid w:val="001A366B"/>
    <w:rsid w:val="001A5C00"/>
    <w:rsid w:val="001B3976"/>
    <w:rsid w:val="001B54C8"/>
    <w:rsid w:val="001B713E"/>
    <w:rsid w:val="001C4AF7"/>
    <w:rsid w:val="001D6339"/>
    <w:rsid w:val="001D732E"/>
    <w:rsid w:val="001E023B"/>
    <w:rsid w:val="001E113E"/>
    <w:rsid w:val="001E2537"/>
    <w:rsid w:val="001E5302"/>
    <w:rsid w:val="001F2033"/>
    <w:rsid w:val="002016B4"/>
    <w:rsid w:val="00201F13"/>
    <w:rsid w:val="0020398D"/>
    <w:rsid w:val="002068F5"/>
    <w:rsid w:val="00215763"/>
    <w:rsid w:val="00220D2D"/>
    <w:rsid w:val="002217FB"/>
    <w:rsid w:val="00221E74"/>
    <w:rsid w:val="002263B6"/>
    <w:rsid w:val="0024089F"/>
    <w:rsid w:val="00245047"/>
    <w:rsid w:val="00246B72"/>
    <w:rsid w:val="00251510"/>
    <w:rsid w:val="002541E4"/>
    <w:rsid w:val="002609A1"/>
    <w:rsid w:val="00260C10"/>
    <w:rsid w:val="002614E0"/>
    <w:rsid w:val="00262B1F"/>
    <w:rsid w:val="00263EAA"/>
    <w:rsid w:val="00266B20"/>
    <w:rsid w:val="00271814"/>
    <w:rsid w:val="00276E81"/>
    <w:rsid w:val="00281926"/>
    <w:rsid w:val="00285CBD"/>
    <w:rsid w:val="00294049"/>
    <w:rsid w:val="00295823"/>
    <w:rsid w:val="002A175B"/>
    <w:rsid w:val="002A24A2"/>
    <w:rsid w:val="002B593E"/>
    <w:rsid w:val="002C0135"/>
    <w:rsid w:val="002C2171"/>
    <w:rsid w:val="002C228E"/>
    <w:rsid w:val="002D1D3D"/>
    <w:rsid w:val="002D1ED8"/>
    <w:rsid w:val="002D4571"/>
    <w:rsid w:val="002D4CA0"/>
    <w:rsid w:val="002E12F0"/>
    <w:rsid w:val="002E23AC"/>
    <w:rsid w:val="002E38A4"/>
    <w:rsid w:val="002E6378"/>
    <w:rsid w:val="00303F88"/>
    <w:rsid w:val="00311392"/>
    <w:rsid w:val="003118D8"/>
    <w:rsid w:val="0031281F"/>
    <w:rsid w:val="003139B2"/>
    <w:rsid w:val="00321375"/>
    <w:rsid w:val="00321EFA"/>
    <w:rsid w:val="00323005"/>
    <w:rsid w:val="00324A55"/>
    <w:rsid w:val="00326816"/>
    <w:rsid w:val="00336BF9"/>
    <w:rsid w:val="00340DDF"/>
    <w:rsid w:val="0035340D"/>
    <w:rsid w:val="003545DC"/>
    <w:rsid w:val="003559A9"/>
    <w:rsid w:val="00363A7C"/>
    <w:rsid w:val="00363ABA"/>
    <w:rsid w:val="00366365"/>
    <w:rsid w:val="00370B0E"/>
    <w:rsid w:val="00370B24"/>
    <w:rsid w:val="00371460"/>
    <w:rsid w:val="00371FC7"/>
    <w:rsid w:val="00374B4E"/>
    <w:rsid w:val="00375A02"/>
    <w:rsid w:val="003777E2"/>
    <w:rsid w:val="00386827"/>
    <w:rsid w:val="00390FCA"/>
    <w:rsid w:val="003A3CFD"/>
    <w:rsid w:val="003A5985"/>
    <w:rsid w:val="003B1718"/>
    <w:rsid w:val="003B3588"/>
    <w:rsid w:val="003B4385"/>
    <w:rsid w:val="003B6ABF"/>
    <w:rsid w:val="003C16DE"/>
    <w:rsid w:val="003C208C"/>
    <w:rsid w:val="003D3877"/>
    <w:rsid w:val="003D45A6"/>
    <w:rsid w:val="003D58BB"/>
    <w:rsid w:val="003E3D95"/>
    <w:rsid w:val="003E5EE9"/>
    <w:rsid w:val="003F0251"/>
    <w:rsid w:val="003F0BA6"/>
    <w:rsid w:val="003F1F72"/>
    <w:rsid w:val="003F6F58"/>
    <w:rsid w:val="003F7D6A"/>
    <w:rsid w:val="00401979"/>
    <w:rsid w:val="00406DB5"/>
    <w:rsid w:val="00412200"/>
    <w:rsid w:val="00415093"/>
    <w:rsid w:val="00416CE0"/>
    <w:rsid w:val="0041741A"/>
    <w:rsid w:val="00423207"/>
    <w:rsid w:val="00424E11"/>
    <w:rsid w:val="0043089F"/>
    <w:rsid w:val="00432A7F"/>
    <w:rsid w:val="00436D2D"/>
    <w:rsid w:val="00441555"/>
    <w:rsid w:val="00443763"/>
    <w:rsid w:val="00457EAE"/>
    <w:rsid w:val="00460515"/>
    <w:rsid w:val="00465DA7"/>
    <w:rsid w:val="00470250"/>
    <w:rsid w:val="004716D5"/>
    <w:rsid w:val="00472E3F"/>
    <w:rsid w:val="00473994"/>
    <w:rsid w:val="00474631"/>
    <w:rsid w:val="004764ED"/>
    <w:rsid w:val="00485A27"/>
    <w:rsid w:val="004861BB"/>
    <w:rsid w:val="00490C55"/>
    <w:rsid w:val="00490FF5"/>
    <w:rsid w:val="00493413"/>
    <w:rsid w:val="004A0E79"/>
    <w:rsid w:val="004A59DA"/>
    <w:rsid w:val="004B5BAC"/>
    <w:rsid w:val="004B5FD2"/>
    <w:rsid w:val="004B6E57"/>
    <w:rsid w:val="004B7CB7"/>
    <w:rsid w:val="004C15D3"/>
    <w:rsid w:val="004C5880"/>
    <w:rsid w:val="004C76FA"/>
    <w:rsid w:val="004D4199"/>
    <w:rsid w:val="004D4894"/>
    <w:rsid w:val="004D6194"/>
    <w:rsid w:val="004D7D71"/>
    <w:rsid w:val="004E0582"/>
    <w:rsid w:val="004E4075"/>
    <w:rsid w:val="004E5640"/>
    <w:rsid w:val="004E70D4"/>
    <w:rsid w:val="004E799F"/>
    <w:rsid w:val="004F140D"/>
    <w:rsid w:val="004F1D6C"/>
    <w:rsid w:val="004F7BC4"/>
    <w:rsid w:val="00501049"/>
    <w:rsid w:val="00514140"/>
    <w:rsid w:val="005148B7"/>
    <w:rsid w:val="005149AA"/>
    <w:rsid w:val="00515B58"/>
    <w:rsid w:val="00521912"/>
    <w:rsid w:val="00524CDD"/>
    <w:rsid w:val="00525BA1"/>
    <w:rsid w:val="00527711"/>
    <w:rsid w:val="00530695"/>
    <w:rsid w:val="00534106"/>
    <w:rsid w:val="005350F2"/>
    <w:rsid w:val="00537F87"/>
    <w:rsid w:val="00541A1C"/>
    <w:rsid w:val="00542A26"/>
    <w:rsid w:val="00543401"/>
    <w:rsid w:val="00550986"/>
    <w:rsid w:val="0055315A"/>
    <w:rsid w:val="00556BB4"/>
    <w:rsid w:val="0055787B"/>
    <w:rsid w:val="00565A8F"/>
    <w:rsid w:val="00565D77"/>
    <w:rsid w:val="005729A2"/>
    <w:rsid w:val="00573CDA"/>
    <w:rsid w:val="00576F95"/>
    <w:rsid w:val="005804A6"/>
    <w:rsid w:val="00580D97"/>
    <w:rsid w:val="005845B6"/>
    <w:rsid w:val="005854A1"/>
    <w:rsid w:val="0058566A"/>
    <w:rsid w:val="005877E7"/>
    <w:rsid w:val="005910B5"/>
    <w:rsid w:val="0059183B"/>
    <w:rsid w:val="005933B8"/>
    <w:rsid w:val="005A6E36"/>
    <w:rsid w:val="005A7B77"/>
    <w:rsid w:val="005B0F1B"/>
    <w:rsid w:val="005B37EC"/>
    <w:rsid w:val="005B40BA"/>
    <w:rsid w:val="005C50E9"/>
    <w:rsid w:val="005C5683"/>
    <w:rsid w:val="005D3828"/>
    <w:rsid w:val="005E16B6"/>
    <w:rsid w:val="005E3AC9"/>
    <w:rsid w:val="005F1425"/>
    <w:rsid w:val="005F50B5"/>
    <w:rsid w:val="005F521A"/>
    <w:rsid w:val="005F5F97"/>
    <w:rsid w:val="00601C51"/>
    <w:rsid w:val="00613659"/>
    <w:rsid w:val="00616333"/>
    <w:rsid w:val="00620EFF"/>
    <w:rsid w:val="00620FDD"/>
    <w:rsid w:val="0062240D"/>
    <w:rsid w:val="00622D77"/>
    <w:rsid w:val="0063381C"/>
    <w:rsid w:val="00636701"/>
    <w:rsid w:val="00636B18"/>
    <w:rsid w:val="00637AB3"/>
    <w:rsid w:val="00637CA1"/>
    <w:rsid w:val="00640F2F"/>
    <w:rsid w:val="00641AC4"/>
    <w:rsid w:val="00650B1B"/>
    <w:rsid w:val="006557E1"/>
    <w:rsid w:val="006563AA"/>
    <w:rsid w:val="00662C5F"/>
    <w:rsid w:val="00676EE6"/>
    <w:rsid w:val="00683EED"/>
    <w:rsid w:val="006854B6"/>
    <w:rsid w:val="00693A14"/>
    <w:rsid w:val="0069416B"/>
    <w:rsid w:val="006A0481"/>
    <w:rsid w:val="006A2620"/>
    <w:rsid w:val="006A4598"/>
    <w:rsid w:val="006B049C"/>
    <w:rsid w:val="006B4E3F"/>
    <w:rsid w:val="006B549E"/>
    <w:rsid w:val="006B7DC4"/>
    <w:rsid w:val="006C33C0"/>
    <w:rsid w:val="006D23A6"/>
    <w:rsid w:val="006D57BA"/>
    <w:rsid w:val="006D649A"/>
    <w:rsid w:val="006E276A"/>
    <w:rsid w:val="006E2E62"/>
    <w:rsid w:val="006F23C2"/>
    <w:rsid w:val="006F3DD4"/>
    <w:rsid w:val="006F3F2F"/>
    <w:rsid w:val="006F581F"/>
    <w:rsid w:val="006F72B7"/>
    <w:rsid w:val="007005D7"/>
    <w:rsid w:val="007045CC"/>
    <w:rsid w:val="00704AF2"/>
    <w:rsid w:val="0071241E"/>
    <w:rsid w:val="00712821"/>
    <w:rsid w:val="00713B6C"/>
    <w:rsid w:val="0072365E"/>
    <w:rsid w:val="00723C95"/>
    <w:rsid w:val="00723EAA"/>
    <w:rsid w:val="00724053"/>
    <w:rsid w:val="00724B60"/>
    <w:rsid w:val="00725F5F"/>
    <w:rsid w:val="00727637"/>
    <w:rsid w:val="007317D9"/>
    <w:rsid w:val="0073294A"/>
    <w:rsid w:val="00733AE8"/>
    <w:rsid w:val="00734934"/>
    <w:rsid w:val="00734F8E"/>
    <w:rsid w:val="00746DC8"/>
    <w:rsid w:val="00752801"/>
    <w:rsid w:val="007542E0"/>
    <w:rsid w:val="00767EAD"/>
    <w:rsid w:val="00775782"/>
    <w:rsid w:val="00786BEB"/>
    <w:rsid w:val="0079688B"/>
    <w:rsid w:val="00797157"/>
    <w:rsid w:val="007A74A6"/>
    <w:rsid w:val="007A7591"/>
    <w:rsid w:val="007B047E"/>
    <w:rsid w:val="007B0CDF"/>
    <w:rsid w:val="007B5EB3"/>
    <w:rsid w:val="007B74B2"/>
    <w:rsid w:val="007B7D19"/>
    <w:rsid w:val="007C3232"/>
    <w:rsid w:val="007D010B"/>
    <w:rsid w:val="007D236F"/>
    <w:rsid w:val="007D7038"/>
    <w:rsid w:val="007E0093"/>
    <w:rsid w:val="007E1F11"/>
    <w:rsid w:val="007E2A1B"/>
    <w:rsid w:val="007E3A7B"/>
    <w:rsid w:val="007E5C32"/>
    <w:rsid w:val="007E61E8"/>
    <w:rsid w:val="007E68AE"/>
    <w:rsid w:val="007E7D1C"/>
    <w:rsid w:val="007F03DE"/>
    <w:rsid w:val="007F1546"/>
    <w:rsid w:val="007F3E06"/>
    <w:rsid w:val="00801AF7"/>
    <w:rsid w:val="00806B9D"/>
    <w:rsid w:val="008167F0"/>
    <w:rsid w:val="0081706D"/>
    <w:rsid w:val="00820709"/>
    <w:rsid w:val="0082425E"/>
    <w:rsid w:val="00837FCF"/>
    <w:rsid w:val="0084203A"/>
    <w:rsid w:val="00847B20"/>
    <w:rsid w:val="00850A78"/>
    <w:rsid w:val="00853B2B"/>
    <w:rsid w:val="00853C1D"/>
    <w:rsid w:val="00860F60"/>
    <w:rsid w:val="00873703"/>
    <w:rsid w:val="008739E5"/>
    <w:rsid w:val="00877414"/>
    <w:rsid w:val="00882B91"/>
    <w:rsid w:val="0088300F"/>
    <w:rsid w:val="00894215"/>
    <w:rsid w:val="008971C9"/>
    <w:rsid w:val="008A1CB6"/>
    <w:rsid w:val="008A1CFB"/>
    <w:rsid w:val="008A4FA8"/>
    <w:rsid w:val="008A7DDB"/>
    <w:rsid w:val="008B04EA"/>
    <w:rsid w:val="008B2472"/>
    <w:rsid w:val="008B3A50"/>
    <w:rsid w:val="008C2197"/>
    <w:rsid w:val="008C2DA7"/>
    <w:rsid w:val="008C3493"/>
    <w:rsid w:val="008C3C63"/>
    <w:rsid w:val="008C4156"/>
    <w:rsid w:val="008D02DF"/>
    <w:rsid w:val="008D11A6"/>
    <w:rsid w:val="008D2D64"/>
    <w:rsid w:val="008D45C9"/>
    <w:rsid w:val="008D46DE"/>
    <w:rsid w:val="008D581C"/>
    <w:rsid w:val="008D6290"/>
    <w:rsid w:val="008D6EF5"/>
    <w:rsid w:val="008E2C25"/>
    <w:rsid w:val="008E5D28"/>
    <w:rsid w:val="008E73CD"/>
    <w:rsid w:val="008F2131"/>
    <w:rsid w:val="00900F82"/>
    <w:rsid w:val="00902E07"/>
    <w:rsid w:val="00904F5D"/>
    <w:rsid w:val="00905981"/>
    <w:rsid w:val="00911406"/>
    <w:rsid w:val="00912F40"/>
    <w:rsid w:val="00915C85"/>
    <w:rsid w:val="00916C73"/>
    <w:rsid w:val="00922944"/>
    <w:rsid w:val="009329D1"/>
    <w:rsid w:val="0094061B"/>
    <w:rsid w:val="00945161"/>
    <w:rsid w:val="009458DF"/>
    <w:rsid w:val="00950566"/>
    <w:rsid w:val="00955969"/>
    <w:rsid w:val="00960AE3"/>
    <w:rsid w:val="0096203A"/>
    <w:rsid w:val="00962B0D"/>
    <w:rsid w:val="009640B4"/>
    <w:rsid w:val="00971EFB"/>
    <w:rsid w:val="00975200"/>
    <w:rsid w:val="00983E71"/>
    <w:rsid w:val="009852D6"/>
    <w:rsid w:val="00987DB1"/>
    <w:rsid w:val="00994182"/>
    <w:rsid w:val="00995335"/>
    <w:rsid w:val="009A46B2"/>
    <w:rsid w:val="009B00C2"/>
    <w:rsid w:val="009B391E"/>
    <w:rsid w:val="009B3B11"/>
    <w:rsid w:val="009B45A5"/>
    <w:rsid w:val="009B4790"/>
    <w:rsid w:val="009B72CE"/>
    <w:rsid w:val="009C0BDD"/>
    <w:rsid w:val="009C16D4"/>
    <w:rsid w:val="009C4606"/>
    <w:rsid w:val="009C5785"/>
    <w:rsid w:val="009D378A"/>
    <w:rsid w:val="009E0D3C"/>
    <w:rsid w:val="009F11CE"/>
    <w:rsid w:val="009F2E8B"/>
    <w:rsid w:val="009F72BC"/>
    <w:rsid w:val="009F78EA"/>
    <w:rsid w:val="00A0140B"/>
    <w:rsid w:val="00A026DD"/>
    <w:rsid w:val="00A02809"/>
    <w:rsid w:val="00A0391C"/>
    <w:rsid w:val="00A10473"/>
    <w:rsid w:val="00A11C5B"/>
    <w:rsid w:val="00A141FD"/>
    <w:rsid w:val="00A16872"/>
    <w:rsid w:val="00A33A06"/>
    <w:rsid w:val="00A36E62"/>
    <w:rsid w:val="00A40E31"/>
    <w:rsid w:val="00A45EC2"/>
    <w:rsid w:val="00A4612D"/>
    <w:rsid w:val="00A5083E"/>
    <w:rsid w:val="00A700B2"/>
    <w:rsid w:val="00A7166B"/>
    <w:rsid w:val="00A75CF4"/>
    <w:rsid w:val="00A82237"/>
    <w:rsid w:val="00A85045"/>
    <w:rsid w:val="00A913AF"/>
    <w:rsid w:val="00A97B7D"/>
    <w:rsid w:val="00AA4EBE"/>
    <w:rsid w:val="00AA51BA"/>
    <w:rsid w:val="00AB33E1"/>
    <w:rsid w:val="00AB348F"/>
    <w:rsid w:val="00AB4BB3"/>
    <w:rsid w:val="00AC2A58"/>
    <w:rsid w:val="00AC3F90"/>
    <w:rsid w:val="00AD1646"/>
    <w:rsid w:val="00AD1A1A"/>
    <w:rsid w:val="00AD3F2A"/>
    <w:rsid w:val="00AF134C"/>
    <w:rsid w:val="00AF1479"/>
    <w:rsid w:val="00AF26B1"/>
    <w:rsid w:val="00B050EC"/>
    <w:rsid w:val="00B05D1E"/>
    <w:rsid w:val="00B153CD"/>
    <w:rsid w:val="00B2158F"/>
    <w:rsid w:val="00B26045"/>
    <w:rsid w:val="00B27D97"/>
    <w:rsid w:val="00B32716"/>
    <w:rsid w:val="00B34B97"/>
    <w:rsid w:val="00B403A3"/>
    <w:rsid w:val="00B43200"/>
    <w:rsid w:val="00B44CD3"/>
    <w:rsid w:val="00B46A95"/>
    <w:rsid w:val="00B50286"/>
    <w:rsid w:val="00B548B1"/>
    <w:rsid w:val="00B54C9B"/>
    <w:rsid w:val="00B55AD4"/>
    <w:rsid w:val="00B70BE9"/>
    <w:rsid w:val="00B729F6"/>
    <w:rsid w:val="00B8095C"/>
    <w:rsid w:val="00B80F9E"/>
    <w:rsid w:val="00B82BCE"/>
    <w:rsid w:val="00B837A7"/>
    <w:rsid w:val="00B83ECE"/>
    <w:rsid w:val="00B858CD"/>
    <w:rsid w:val="00B9228C"/>
    <w:rsid w:val="00B930BA"/>
    <w:rsid w:val="00B96AA3"/>
    <w:rsid w:val="00BA1367"/>
    <w:rsid w:val="00BA4A9C"/>
    <w:rsid w:val="00BA56B7"/>
    <w:rsid w:val="00BB2FCC"/>
    <w:rsid w:val="00BB371A"/>
    <w:rsid w:val="00BB47DF"/>
    <w:rsid w:val="00BC04A6"/>
    <w:rsid w:val="00BC2215"/>
    <w:rsid w:val="00BC26C6"/>
    <w:rsid w:val="00BC358D"/>
    <w:rsid w:val="00BC7FFD"/>
    <w:rsid w:val="00BE1DD5"/>
    <w:rsid w:val="00BE720A"/>
    <w:rsid w:val="00BF74E9"/>
    <w:rsid w:val="00C01591"/>
    <w:rsid w:val="00C05154"/>
    <w:rsid w:val="00C060C0"/>
    <w:rsid w:val="00C07F95"/>
    <w:rsid w:val="00C12282"/>
    <w:rsid w:val="00C156D4"/>
    <w:rsid w:val="00C20F93"/>
    <w:rsid w:val="00C21C7F"/>
    <w:rsid w:val="00C241C6"/>
    <w:rsid w:val="00C25A8E"/>
    <w:rsid w:val="00C34A93"/>
    <w:rsid w:val="00C43EEA"/>
    <w:rsid w:val="00C519CE"/>
    <w:rsid w:val="00C51A72"/>
    <w:rsid w:val="00C534A7"/>
    <w:rsid w:val="00C538F0"/>
    <w:rsid w:val="00C566B3"/>
    <w:rsid w:val="00C5736F"/>
    <w:rsid w:val="00C57833"/>
    <w:rsid w:val="00C6479A"/>
    <w:rsid w:val="00C64DD4"/>
    <w:rsid w:val="00C666CA"/>
    <w:rsid w:val="00C6797C"/>
    <w:rsid w:val="00C67B32"/>
    <w:rsid w:val="00C70A18"/>
    <w:rsid w:val="00C7161F"/>
    <w:rsid w:val="00C81E23"/>
    <w:rsid w:val="00C85C2D"/>
    <w:rsid w:val="00C8612C"/>
    <w:rsid w:val="00C90857"/>
    <w:rsid w:val="00C90E8D"/>
    <w:rsid w:val="00C977FA"/>
    <w:rsid w:val="00CA0EEB"/>
    <w:rsid w:val="00CA371E"/>
    <w:rsid w:val="00CA3931"/>
    <w:rsid w:val="00CA5AA3"/>
    <w:rsid w:val="00CB0C1D"/>
    <w:rsid w:val="00CB30B8"/>
    <w:rsid w:val="00CB4057"/>
    <w:rsid w:val="00CC47C5"/>
    <w:rsid w:val="00CC5047"/>
    <w:rsid w:val="00CC5864"/>
    <w:rsid w:val="00CD22A8"/>
    <w:rsid w:val="00CD2BFF"/>
    <w:rsid w:val="00CE76B4"/>
    <w:rsid w:val="00CF01B2"/>
    <w:rsid w:val="00CF060A"/>
    <w:rsid w:val="00CF17A0"/>
    <w:rsid w:val="00CF2192"/>
    <w:rsid w:val="00CF70C1"/>
    <w:rsid w:val="00CF7B0A"/>
    <w:rsid w:val="00D02E03"/>
    <w:rsid w:val="00D04D01"/>
    <w:rsid w:val="00D105AC"/>
    <w:rsid w:val="00D226FE"/>
    <w:rsid w:val="00D312C1"/>
    <w:rsid w:val="00D318D5"/>
    <w:rsid w:val="00D32DBC"/>
    <w:rsid w:val="00D36168"/>
    <w:rsid w:val="00D36733"/>
    <w:rsid w:val="00D42D0F"/>
    <w:rsid w:val="00D45331"/>
    <w:rsid w:val="00D4567B"/>
    <w:rsid w:val="00D471B5"/>
    <w:rsid w:val="00D533FB"/>
    <w:rsid w:val="00D5483A"/>
    <w:rsid w:val="00D558B2"/>
    <w:rsid w:val="00D571DB"/>
    <w:rsid w:val="00D60854"/>
    <w:rsid w:val="00D629D9"/>
    <w:rsid w:val="00D66D52"/>
    <w:rsid w:val="00D7015B"/>
    <w:rsid w:val="00D717C5"/>
    <w:rsid w:val="00D74AD3"/>
    <w:rsid w:val="00D75D9C"/>
    <w:rsid w:val="00D77471"/>
    <w:rsid w:val="00D812ED"/>
    <w:rsid w:val="00D847D6"/>
    <w:rsid w:val="00D84B2D"/>
    <w:rsid w:val="00D85254"/>
    <w:rsid w:val="00D94E9C"/>
    <w:rsid w:val="00DA138E"/>
    <w:rsid w:val="00DA5BE7"/>
    <w:rsid w:val="00DB1492"/>
    <w:rsid w:val="00DB61E1"/>
    <w:rsid w:val="00DB792F"/>
    <w:rsid w:val="00DC16B4"/>
    <w:rsid w:val="00DC2075"/>
    <w:rsid w:val="00DC4151"/>
    <w:rsid w:val="00DC6BED"/>
    <w:rsid w:val="00DD2850"/>
    <w:rsid w:val="00DD629C"/>
    <w:rsid w:val="00DE3B2B"/>
    <w:rsid w:val="00DE560F"/>
    <w:rsid w:val="00DE73A2"/>
    <w:rsid w:val="00DE7667"/>
    <w:rsid w:val="00DF0DF4"/>
    <w:rsid w:val="00DF5BB6"/>
    <w:rsid w:val="00E1062D"/>
    <w:rsid w:val="00E11B60"/>
    <w:rsid w:val="00E12D51"/>
    <w:rsid w:val="00E16BA8"/>
    <w:rsid w:val="00E24D07"/>
    <w:rsid w:val="00E31AA1"/>
    <w:rsid w:val="00E376A4"/>
    <w:rsid w:val="00E441E8"/>
    <w:rsid w:val="00E44BF7"/>
    <w:rsid w:val="00E6321A"/>
    <w:rsid w:val="00E634DF"/>
    <w:rsid w:val="00E63EA9"/>
    <w:rsid w:val="00E6552D"/>
    <w:rsid w:val="00E67442"/>
    <w:rsid w:val="00E679D6"/>
    <w:rsid w:val="00E73A40"/>
    <w:rsid w:val="00E742F9"/>
    <w:rsid w:val="00E76AE2"/>
    <w:rsid w:val="00E80010"/>
    <w:rsid w:val="00E90A9D"/>
    <w:rsid w:val="00EA38A1"/>
    <w:rsid w:val="00EA3954"/>
    <w:rsid w:val="00EA462B"/>
    <w:rsid w:val="00EA7EE6"/>
    <w:rsid w:val="00EB52F0"/>
    <w:rsid w:val="00EB57EB"/>
    <w:rsid w:val="00ED09DC"/>
    <w:rsid w:val="00ED3184"/>
    <w:rsid w:val="00ED7B71"/>
    <w:rsid w:val="00EE2BB2"/>
    <w:rsid w:val="00EF0835"/>
    <w:rsid w:val="00EF2250"/>
    <w:rsid w:val="00EF4EBF"/>
    <w:rsid w:val="00F0013F"/>
    <w:rsid w:val="00F007D7"/>
    <w:rsid w:val="00F0557C"/>
    <w:rsid w:val="00F06C58"/>
    <w:rsid w:val="00F119BA"/>
    <w:rsid w:val="00F12122"/>
    <w:rsid w:val="00F1576F"/>
    <w:rsid w:val="00F20B33"/>
    <w:rsid w:val="00F275A6"/>
    <w:rsid w:val="00F331CD"/>
    <w:rsid w:val="00F4097F"/>
    <w:rsid w:val="00F435FE"/>
    <w:rsid w:val="00F510DD"/>
    <w:rsid w:val="00F51150"/>
    <w:rsid w:val="00F54358"/>
    <w:rsid w:val="00F65A98"/>
    <w:rsid w:val="00F66991"/>
    <w:rsid w:val="00F6730D"/>
    <w:rsid w:val="00F67863"/>
    <w:rsid w:val="00F67BD0"/>
    <w:rsid w:val="00F710F9"/>
    <w:rsid w:val="00F73208"/>
    <w:rsid w:val="00F752A8"/>
    <w:rsid w:val="00F7653B"/>
    <w:rsid w:val="00F859B7"/>
    <w:rsid w:val="00F86918"/>
    <w:rsid w:val="00F90D82"/>
    <w:rsid w:val="00F95CDF"/>
    <w:rsid w:val="00F967CF"/>
    <w:rsid w:val="00F9696B"/>
    <w:rsid w:val="00F96A1A"/>
    <w:rsid w:val="00FA7062"/>
    <w:rsid w:val="00FB1C13"/>
    <w:rsid w:val="00FC076F"/>
    <w:rsid w:val="00FC1C44"/>
    <w:rsid w:val="00FC49D1"/>
    <w:rsid w:val="00FD1BC2"/>
    <w:rsid w:val="00FD3203"/>
    <w:rsid w:val="00FD5D86"/>
    <w:rsid w:val="00FD5DC5"/>
    <w:rsid w:val="00FD7648"/>
    <w:rsid w:val="00FE1EE2"/>
    <w:rsid w:val="00FE66F1"/>
    <w:rsid w:val="00FF464F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7429EE4F"/>
  <w15:chartTrackingRefBased/>
  <w15:docId w15:val="{4DCAEBD2-A714-4A93-B160-E5DAEAE9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15689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9D3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378A"/>
    <w:rPr>
      <w:rFonts w:ascii="Tahoma" w:hAnsi="Tahoma" w:cs="Tahoma"/>
      <w:sz w:val="16"/>
      <w:szCs w:val="16"/>
    </w:rPr>
  </w:style>
  <w:style w:type="character" w:customStyle="1" w:styleId="tableentry">
    <w:name w:val="tableentry"/>
    <w:rsid w:val="00C25A8E"/>
    <w:rPr>
      <w:rFonts w:ascii="Arial" w:hAnsi="Arial" w:cs="Arial" w:hint="default"/>
      <w:sz w:val="18"/>
      <w:szCs w:val="18"/>
    </w:rPr>
  </w:style>
  <w:style w:type="paragraph" w:styleId="ListParagraph">
    <w:name w:val="List Paragraph"/>
    <w:aliases w:val="Sapient_TableNumber"/>
    <w:basedOn w:val="Normal"/>
    <w:link w:val="ListParagraphChar"/>
    <w:uiPriority w:val="34"/>
    <w:qFormat/>
    <w:rsid w:val="0063381C"/>
    <w:pPr>
      <w:ind w:left="720"/>
      <w:contextualSpacing/>
    </w:pPr>
    <w:rPr>
      <w:rFonts w:ascii="Arial" w:hAnsi="Arial"/>
    </w:rPr>
  </w:style>
  <w:style w:type="character" w:styleId="CommentReference">
    <w:name w:val="annotation reference"/>
    <w:rsid w:val="00B502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502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0286"/>
  </w:style>
  <w:style w:type="paragraph" w:styleId="CommentSubject">
    <w:name w:val="annotation subject"/>
    <w:basedOn w:val="CommentText"/>
    <w:next w:val="CommentText"/>
    <w:link w:val="CommentSubjectChar"/>
    <w:rsid w:val="00B50286"/>
    <w:rPr>
      <w:b/>
      <w:bCs/>
    </w:rPr>
  </w:style>
  <w:style w:type="character" w:customStyle="1" w:styleId="CommentSubjectChar">
    <w:name w:val="Comment Subject Char"/>
    <w:link w:val="CommentSubject"/>
    <w:rsid w:val="00B50286"/>
    <w:rPr>
      <w:b/>
      <w:bCs/>
    </w:rPr>
  </w:style>
  <w:style w:type="paragraph" w:styleId="Revision">
    <w:name w:val="Revision"/>
    <w:hidden/>
    <w:uiPriority w:val="99"/>
    <w:semiHidden/>
    <w:rsid w:val="00B50286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CD22A8"/>
  </w:style>
  <w:style w:type="paragraph" w:styleId="TOC2">
    <w:name w:val="toc 2"/>
    <w:basedOn w:val="Normal"/>
    <w:next w:val="Normal"/>
    <w:autoRedefine/>
    <w:uiPriority w:val="39"/>
    <w:rsid w:val="00F66991"/>
    <w:pPr>
      <w:tabs>
        <w:tab w:val="right" w:leader="dot" w:pos="12950"/>
      </w:tabs>
    </w:pPr>
  </w:style>
  <w:style w:type="character" w:customStyle="1" w:styleId="FooterChar">
    <w:name w:val="Footer Char"/>
    <w:link w:val="Footer"/>
    <w:uiPriority w:val="99"/>
    <w:rsid w:val="002D1ED8"/>
    <w:rPr>
      <w:sz w:val="24"/>
      <w:szCs w:val="24"/>
    </w:rPr>
  </w:style>
  <w:style w:type="character" w:customStyle="1" w:styleId="ListParagraphChar">
    <w:name w:val="List Paragraph Char"/>
    <w:aliases w:val="Sapient_TableNumber Char"/>
    <w:link w:val="ListParagraph"/>
    <w:uiPriority w:val="34"/>
    <w:locked/>
    <w:rsid w:val="00FE66F1"/>
    <w:rPr>
      <w:rFonts w:ascii="Arial" w:hAnsi="Arial"/>
      <w:sz w:val="24"/>
      <w:szCs w:val="24"/>
    </w:rPr>
  </w:style>
  <w:style w:type="character" w:styleId="UnresolvedMention">
    <w:name w:val="Unresolved Mention"/>
    <w:uiPriority w:val="99"/>
    <w:unhideWhenUsed/>
    <w:rsid w:val="0071241E"/>
    <w:rPr>
      <w:color w:val="605E5C"/>
      <w:shd w:val="clear" w:color="auto" w:fill="E1DFDD"/>
    </w:rPr>
  </w:style>
  <w:style w:type="paragraph" w:customStyle="1" w:styleId="style-scope">
    <w:name w:val="style-scope"/>
    <w:basedOn w:val="Normal"/>
    <w:rsid w:val="00386827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sid w:val="00820709"/>
    <w:rPr>
      <w:rFonts w:ascii="Arial" w:hAnsi="Arial" w:cs="Arial"/>
      <w:b/>
      <w:bCs/>
      <w:i/>
      <w:iCs/>
      <w:sz w:val="28"/>
      <w:szCs w:val="28"/>
    </w:rPr>
  </w:style>
  <w:style w:type="character" w:customStyle="1" w:styleId="ui-provider">
    <w:name w:val="ui-provider"/>
    <w:basedOn w:val="DefaultParagraphFont"/>
    <w:rsid w:val="00820709"/>
  </w:style>
  <w:style w:type="table" w:customStyle="1" w:styleId="TableGrid1">
    <w:name w:val="Table Grid1"/>
    <w:basedOn w:val="TableNormal"/>
    <w:uiPriority w:val="39"/>
    <w:rsid w:val="00820709"/>
    <w:rPr>
      <w:rFonts w:ascii="Calibri" w:eastAsia="Calibri" w:hAnsi="Calibri" w:cs="Arial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F331CD"/>
    <w:pPr>
      <w:ind w:left="480"/>
    </w:pPr>
  </w:style>
  <w:style w:type="character" w:styleId="Mention">
    <w:name w:val="Mention"/>
    <w:uiPriority w:val="99"/>
    <w:unhideWhenUsed/>
    <w:rsid w:val="00CF70C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0524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565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470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8218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384">
                  <w:marLeft w:val="34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9120">
                  <w:marLeft w:val="34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550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467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file:///C:\Users\C337799\Downloads\TSRC-PROD-016401" TargetMode="External"/><Relationship Id="rId21" Type="http://schemas.openxmlformats.org/officeDocument/2006/relationships/image" Target="media/image9.png"/><Relationship Id="rId34" Type="http://schemas.openxmlformats.org/officeDocument/2006/relationships/hyperlink" Target="file:///C:\Users\C337799\Downloads\TSRC-PROD-061758" TargetMode="External"/><Relationship Id="rId42" Type="http://schemas.openxmlformats.org/officeDocument/2006/relationships/hyperlink" Target="file:///C:\Users\C337799\Downloads\TSRC-PROD-061745" TargetMode="External"/><Relationship Id="rId47" Type="http://schemas.openxmlformats.org/officeDocument/2006/relationships/hyperlink" Target="file:///C:\Users\C337799\Downloads\TSRC-PROD-007931" TargetMode="External"/><Relationship Id="rId50" Type="http://schemas.openxmlformats.org/officeDocument/2006/relationships/hyperlink" Target="https://policy.corp.cvscaremark.com/pnp/faces/DocRenderer?documentId=MEDAFF-0029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file:///C:\Users\C337799\Downloads\TSRC-PROD-061758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yperlink" Target="file:///C:\Users\C337799\Downloads\TSRC-PROD-061874" TargetMode="External"/><Relationship Id="rId37" Type="http://schemas.openxmlformats.org/officeDocument/2006/relationships/image" Target="media/image13.png"/><Relationship Id="rId40" Type="http://schemas.openxmlformats.org/officeDocument/2006/relationships/hyperlink" Target="file:///C:\Users\C337799\Downloads\TSRC-PROD-061745" TargetMode="External"/><Relationship Id="rId45" Type="http://schemas.openxmlformats.org/officeDocument/2006/relationships/hyperlink" Target="file:///C:\Users\C337799\Downloads\TSRC-PROD-061751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file:///C:\Users\C337799\Downloads\TSRC-PROD-061758" TargetMode="External"/><Relationship Id="rId44" Type="http://schemas.openxmlformats.org/officeDocument/2006/relationships/hyperlink" Target="file:///C:\Users\C337799\Downloads\TSRC-PROD-061751" TargetMode="External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file:///C:\Users\C337799\Downloads\TSRC-PROD-050011" TargetMode="External"/><Relationship Id="rId35" Type="http://schemas.openxmlformats.org/officeDocument/2006/relationships/hyperlink" Target="file:///C:\Users\C337799\Downloads\TSRC-PROD-050011" TargetMode="External"/><Relationship Id="rId43" Type="http://schemas.openxmlformats.org/officeDocument/2006/relationships/hyperlink" Target="file:///C:\Users\C337799\Downloads\TSRC-PROD-061745" TargetMode="External"/><Relationship Id="rId48" Type="http://schemas.openxmlformats.org/officeDocument/2006/relationships/hyperlink" Target="file:///C:\Users\C337799\Downloads\TSRC-PROD-058179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file:///C:\Users\C337799\Downloads\CMS-2-017428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hyperlink" Target="file:///C:\Users\C337799\Downloads\TSRC-PROD-061763" TargetMode="External"/><Relationship Id="rId25" Type="http://schemas.openxmlformats.org/officeDocument/2006/relationships/image" Target="media/image12.png"/><Relationship Id="rId33" Type="http://schemas.openxmlformats.org/officeDocument/2006/relationships/hyperlink" Target="file:///C:\Users\C337799\Downloads\TSRC-PROD-050011" TargetMode="External"/><Relationship Id="rId38" Type="http://schemas.openxmlformats.org/officeDocument/2006/relationships/hyperlink" Target="file:///C:\Users\C337799\Downloads\TSRC-PROD-018060" TargetMode="External"/><Relationship Id="rId46" Type="http://schemas.openxmlformats.org/officeDocument/2006/relationships/hyperlink" Target="file:///C:\Users\C337799\Downloads\TSRC-PROD-061745" TargetMode="External"/><Relationship Id="rId20" Type="http://schemas.openxmlformats.org/officeDocument/2006/relationships/image" Target="media/image8.png"/><Relationship Id="rId41" Type="http://schemas.openxmlformats.org/officeDocument/2006/relationships/hyperlink" Target="file:///C:\Users\C337799\Downloads\TSRC-PROD-058045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file:///C:\Users\C337799\Downloads\CMS-PRD1-093221" TargetMode="External"/><Relationship Id="rId28" Type="http://schemas.openxmlformats.org/officeDocument/2006/relationships/hyperlink" Target="file:///C:\Users\C337799\Downloads\TSRC-PROD-050011" TargetMode="External"/><Relationship Id="rId36" Type="http://schemas.openxmlformats.org/officeDocument/2006/relationships/hyperlink" Target="file:///C:\Users\C337799\Downloads\TSRC-PROD-061758" TargetMode="External"/><Relationship Id="rId49" Type="http://schemas.openxmlformats.org/officeDocument/2006/relationships/hyperlink" Target="https://policy.corp.cvscaremark.com/pnp/faces/SecureDocRenderer?documentId=CALL-0048&amp;uid=pnpdev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DB1A62-382A-4175-971D-BA93915404E4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E6B3FAD3-5BCF-4630-AFF4-22E039863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A7427-4B87-48B4-BC4C-4575DAF195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65E328-2FC3-476D-9D2B-3252F8FE6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4835</Words>
  <Characters>27562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32333</CharactersWithSpaces>
  <SharedDoc>false</SharedDoc>
  <HLinks>
    <vt:vector size="438" baseType="variant"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3735657</vt:i4>
      </vt:variant>
      <vt:variant>
        <vt:i4>309</vt:i4>
      </vt:variant>
      <vt:variant>
        <vt:i4>0</vt:i4>
      </vt:variant>
      <vt:variant>
        <vt:i4>5</vt:i4>
      </vt:variant>
      <vt:variant>
        <vt:lpwstr>../CMS-2-017428</vt:lpwstr>
      </vt:variant>
      <vt:variant>
        <vt:lpwstr/>
      </vt:variant>
      <vt:variant>
        <vt:i4>4522078</vt:i4>
      </vt:variant>
      <vt:variant>
        <vt:i4>306</vt:i4>
      </vt:variant>
      <vt:variant>
        <vt:i4>0</vt:i4>
      </vt:variant>
      <vt:variant>
        <vt:i4>5</vt:i4>
      </vt:variant>
      <vt:variant>
        <vt:lpwstr>https://policy.corp.cvscaremark.com/pnp/faces/DocRenderer?documentId=MEDAFF-0029</vt:lpwstr>
      </vt:variant>
      <vt:variant>
        <vt:lpwstr/>
      </vt:variant>
      <vt:variant>
        <vt:i4>1310811</vt:i4>
      </vt:variant>
      <vt:variant>
        <vt:i4>303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2031618</vt:i4>
      </vt:variant>
      <vt:variant>
        <vt:i4>300</vt:i4>
      </vt:variant>
      <vt:variant>
        <vt:i4>0</vt:i4>
      </vt:variant>
      <vt:variant>
        <vt:i4>5</vt:i4>
      </vt:variant>
      <vt:variant>
        <vt:lpwstr>TSRC-PROD-058179</vt:lpwstr>
      </vt:variant>
      <vt:variant>
        <vt:lpwstr/>
      </vt:variant>
      <vt:variant>
        <vt:i4>2555946</vt:i4>
      </vt:variant>
      <vt:variant>
        <vt:i4>294</vt:i4>
      </vt:variant>
      <vt:variant>
        <vt:i4>0</vt:i4>
      </vt:variant>
      <vt:variant>
        <vt:i4>5</vt:i4>
      </vt:variant>
      <vt:variant>
        <vt:lpwstr>../TSRC-PROD-007931</vt:lpwstr>
      </vt:variant>
      <vt:variant>
        <vt:lpwstr/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1441800</vt:i4>
      </vt:variant>
      <vt:variant>
        <vt:i4>288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1179657</vt:i4>
      </vt:variant>
      <vt:variant>
        <vt:i4>282</vt:i4>
      </vt:variant>
      <vt:variant>
        <vt:i4>0</vt:i4>
      </vt:variant>
      <vt:variant>
        <vt:i4>5</vt:i4>
      </vt:variant>
      <vt:variant>
        <vt:lpwstr>TSRC-PROD-061751</vt:lpwstr>
      </vt:variant>
      <vt:variant>
        <vt:lpwstr/>
      </vt:variant>
      <vt:variant>
        <vt:i4>1179657</vt:i4>
      </vt:variant>
      <vt:variant>
        <vt:i4>276</vt:i4>
      </vt:variant>
      <vt:variant>
        <vt:i4>0</vt:i4>
      </vt:variant>
      <vt:variant>
        <vt:i4>5</vt:i4>
      </vt:variant>
      <vt:variant>
        <vt:lpwstr>TSRC-PROD-061751</vt:lpwstr>
      </vt:variant>
      <vt:variant>
        <vt:lpwstr/>
      </vt:variant>
      <vt:variant>
        <vt:i4>8192099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_LTC_Beneficiaries</vt:lpwstr>
      </vt:variant>
      <vt:variant>
        <vt:i4>4587608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_Compound_Meds</vt:lpwstr>
      </vt:variant>
      <vt:variant>
        <vt:i4>1703981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_PA_and_Step</vt:lpwstr>
      </vt:variant>
      <vt:variant>
        <vt:i4>65570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_Transition_Fills_(Non-formulary</vt:lpwstr>
      </vt:variant>
      <vt:variant>
        <vt:i4>1441800</vt:i4>
      </vt:variant>
      <vt:variant>
        <vt:i4>237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1441800</vt:i4>
      </vt:variant>
      <vt:variant>
        <vt:i4>231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8192099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_LTC_Beneficiaries</vt:lpwstr>
      </vt:variant>
      <vt:variant>
        <vt:i4>4587608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_Compound_Meds</vt:lpwstr>
      </vt:variant>
      <vt:variant>
        <vt:i4>1703981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_PA_and_Step</vt:lpwstr>
      </vt:variant>
      <vt:variant>
        <vt:i4>65570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_Transition_Fills_(Non-formulary</vt:lpwstr>
      </vt:variant>
      <vt:variant>
        <vt:i4>8192099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_LTC_Beneficiaries</vt:lpwstr>
      </vt:variant>
      <vt:variant>
        <vt:i4>4587608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_Compound_Meds</vt:lpwstr>
      </vt:variant>
      <vt:variant>
        <vt:i4>1703981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_PA_and_Step</vt:lpwstr>
      </vt:variant>
      <vt:variant>
        <vt:i4>65570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_Transition_Fills_(Non-formulary</vt:lpwstr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3473530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TransitionFillProcessStep6</vt:lpwstr>
      </vt:variant>
      <vt:variant>
        <vt:i4>1441800</vt:i4>
      </vt:variant>
      <vt:variant>
        <vt:i4>168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1179649</vt:i4>
      </vt:variant>
      <vt:variant>
        <vt:i4>162</vt:i4>
      </vt:variant>
      <vt:variant>
        <vt:i4>0</vt:i4>
      </vt:variant>
      <vt:variant>
        <vt:i4>5</vt:i4>
      </vt:variant>
      <vt:variant>
        <vt:lpwstr>TSRC-PROD-058045</vt:lpwstr>
      </vt:variant>
      <vt:variant>
        <vt:lpwstr/>
      </vt:variant>
      <vt:variant>
        <vt:i4>3145850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TransitionFillProcessStep3</vt:lpwstr>
      </vt:variant>
      <vt:variant>
        <vt:i4>3473530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TransitionFillProcessStep6</vt:lpwstr>
      </vt:variant>
      <vt:variant>
        <vt:i4>1441800</vt:i4>
      </vt:variant>
      <vt:variant>
        <vt:i4>153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852024</vt:i4>
      </vt:variant>
      <vt:variant>
        <vt:i4>147</vt:i4>
      </vt:variant>
      <vt:variant>
        <vt:i4>0</vt:i4>
      </vt:variant>
      <vt:variant>
        <vt:i4>5</vt:i4>
      </vt:variant>
      <vt:variant>
        <vt:lpwstr>028816 MED D - Transition Fill Care Processes 061923.doc</vt:lpwstr>
      </vt:variant>
      <vt:variant>
        <vt:lpwstr>_top</vt:lpwstr>
      </vt:variant>
      <vt:variant>
        <vt:i4>2424870</vt:i4>
      </vt:variant>
      <vt:variant>
        <vt:i4>144</vt:i4>
      </vt:variant>
      <vt:variant>
        <vt:i4>0</vt:i4>
      </vt:variant>
      <vt:variant>
        <vt:i4>5</vt:i4>
      </vt:variant>
      <vt:variant>
        <vt:lpwstr>../TSRC-PROD-016401</vt:lpwstr>
      </vt:variant>
      <vt:variant>
        <vt:lpwstr/>
      </vt:variant>
      <vt:variant>
        <vt:i4>2949154</vt:i4>
      </vt:variant>
      <vt:variant>
        <vt:i4>141</vt:i4>
      </vt:variant>
      <vt:variant>
        <vt:i4>0</vt:i4>
      </vt:variant>
      <vt:variant>
        <vt:i4>5</vt:i4>
      </vt:variant>
      <vt:variant>
        <vt:lpwstr>../TSRC-PROD-018060</vt:lpwstr>
      </vt:variant>
      <vt:variant>
        <vt:lpwstr/>
      </vt:variant>
      <vt:variant>
        <vt:i4>262192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1769481</vt:i4>
      </vt:variant>
      <vt:variant>
        <vt:i4>129</vt:i4>
      </vt:variant>
      <vt:variant>
        <vt:i4>0</vt:i4>
      </vt:variant>
      <vt:variant>
        <vt:i4>5</vt:i4>
      </vt:variant>
      <vt:variant>
        <vt:lpwstr>TSRC-PROD-061758</vt:lpwstr>
      </vt:variant>
      <vt:variant>
        <vt:lpwstr/>
      </vt:variant>
      <vt:variant>
        <vt:i4>1441804</vt:i4>
      </vt:variant>
      <vt:variant>
        <vt:i4>126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1769481</vt:i4>
      </vt:variant>
      <vt:variant>
        <vt:i4>120</vt:i4>
      </vt:variant>
      <vt:variant>
        <vt:i4>0</vt:i4>
      </vt:variant>
      <vt:variant>
        <vt:i4>5</vt:i4>
      </vt:variant>
      <vt:variant>
        <vt:lpwstr>TSRC-PROD-061758</vt:lpwstr>
      </vt:variant>
      <vt:variant>
        <vt:lpwstr/>
      </vt:variant>
      <vt:variant>
        <vt:i4>1441804</vt:i4>
      </vt:variant>
      <vt:variant>
        <vt:i4>117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5111934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_Transition_Fill_Coding</vt:lpwstr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1769481</vt:i4>
      </vt:variant>
      <vt:variant>
        <vt:i4>102</vt:i4>
      </vt:variant>
      <vt:variant>
        <vt:i4>0</vt:i4>
      </vt:variant>
      <vt:variant>
        <vt:i4>5</vt:i4>
      </vt:variant>
      <vt:variant>
        <vt:lpwstr>TSRC-PROD-061758</vt:lpwstr>
      </vt:variant>
      <vt:variant>
        <vt:lpwstr/>
      </vt:variant>
      <vt:variant>
        <vt:i4>1441804</vt:i4>
      </vt:variant>
      <vt:variant>
        <vt:i4>99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1769481</vt:i4>
      </vt:variant>
      <vt:variant>
        <vt:i4>93</vt:i4>
      </vt:variant>
      <vt:variant>
        <vt:i4>0</vt:i4>
      </vt:variant>
      <vt:variant>
        <vt:i4>5</vt:i4>
      </vt:variant>
      <vt:variant>
        <vt:lpwstr>TSRC-PROD-061758</vt:lpwstr>
      </vt:variant>
      <vt:variant>
        <vt:lpwstr/>
      </vt:variant>
      <vt:variant>
        <vt:i4>1441804</vt:i4>
      </vt:variant>
      <vt:variant>
        <vt:i4>90</vt:i4>
      </vt:variant>
      <vt:variant>
        <vt:i4>0</vt:i4>
      </vt:variant>
      <vt:variant>
        <vt:i4>5</vt:i4>
      </vt:variant>
      <vt:variant>
        <vt:lpwstr>TSRC-PROD-050011</vt:lpwstr>
      </vt:variant>
      <vt:variant>
        <vt:lpwstr/>
      </vt:variant>
      <vt:variant>
        <vt:i4>8192099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_LTC_Beneficiaries</vt:lpwstr>
      </vt:variant>
      <vt:variant>
        <vt:i4>4587608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_Compound_Meds</vt:lpwstr>
      </vt:variant>
      <vt:variant>
        <vt:i4>1703981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_PA_and_Step</vt:lpwstr>
      </vt:variant>
      <vt:variant>
        <vt:i4>6815818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_Transition_Fills_Scenario</vt:lpwstr>
      </vt:variant>
      <vt:variant>
        <vt:i4>1441800</vt:i4>
      </vt:variant>
      <vt:variant>
        <vt:i4>75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1441800</vt:i4>
      </vt:variant>
      <vt:variant>
        <vt:i4>69</vt:i4>
      </vt:variant>
      <vt:variant>
        <vt:i4>0</vt:i4>
      </vt:variant>
      <vt:variant>
        <vt:i4>5</vt:i4>
      </vt:variant>
      <vt:variant>
        <vt:lpwstr>TSRC-PROD-061745</vt:lpwstr>
      </vt:variant>
      <vt:variant>
        <vt:lpwstr/>
      </vt:variant>
      <vt:variant>
        <vt:i4>3997747</vt:i4>
      </vt:variant>
      <vt:variant>
        <vt:i4>63</vt:i4>
      </vt:variant>
      <vt:variant>
        <vt:i4>0</vt:i4>
      </vt:variant>
      <vt:variant>
        <vt:i4>5</vt:i4>
      </vt:variant>
      <vt:variant>
        <vt:lpwstr>../CMS-PRD1-093221</vt:lpwstr>
      </vt:variant>
      <vt:variant>
        <vt:lpwstr/>
      </vt:variant>
      <vt:variant>
        <vt:i4>6815818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_Transition_Fills_Scenario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1048586</vt:i4>
      </vt:variant>
      <vt:variant>
        <vt:i4>54</vt:i4>
      </vt:variant>
      <vt:variant>
        <vt:i4>0</vt:i4>
      </vt:variant>
      <vt:variant>
        <vt:i4>5</vt:i4>
      </vt:variant>
      <vt:variant>
        <vt:lpwstr>TSRC-PROD-061763</vt:lpwstr>
      </vt:variant>
      <vt:variant>
        <vt:lpwstr/>
      </vt:variant>
      <vt:variant>
        <vt:i4>4522009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!/view?docid=ee57b4f0-4e69-4f9b-a799-9c048551d265</vt:lpwstr>
      </vt:variant>
      <vt:variant>
        <vt:i4>1310795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!/view?docid=e120424f-3561-4a13-9338-04d7d818d049</vt:lpwstr>
      </vt:variant>
      <vt:variant>
        <vt:i4>1114188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!/view?docid=3fd4baca-6997-4ba5-a1d8-afad036c9a2f</vt:lpwstr>
      </vt:variant>
      <vt:variant>
        <vt:i4>5177422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!/view?docid=823e236d-74db-440f-86df-4907daf894ec</vt:lpwstr>
      </vt:variant>
      <vt:variant>
        <vt:i4>4522056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!/view?docid=b3dc59ba-711c-4374-98e4-131a7ff83a37</vt:lpwstr>
      </vt:variant>
      <vt:variant>
        <vt:i4>1376330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!/view?docid=e7e304be-6ded-41bd-ae23-813f1f5833ce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_Toc149663615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_Toc149663614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_Toc149663613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_Toc149663612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_Toc149663611</vt:lpwstr>
      </vt:variant>
      <vt:variant>
        <vt:i4>1507384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_Toc149663610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_Toc149663609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_Toc149663608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_Toc149663607</vt:lpwstr>
      </vt:variant>
      <vt:variant>
        <vt:i4>393325</vt:i4>
      </vt:variant>
      <vt:variant>
        <vt:i4>0</vt:i4>
      </vt:variant>
      <vt:variant>
        <vt:i4>0</vt:i4>
      </vt:variant>
      <vt:variant>
        <vt:i4>5</vt:i4>
      </vt:variant>
      <vt:variant>
        <vt:lpwstr>mailto:Janelle.Murrell@CVSHealth.com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Kristoff, Angel T</cp:lastModifiedBy>
  <cp:revision>2</cp:revision>
  <dcterms:created xsi:type="dcterms:W3CDTF">2025-01-17T18:02:00Z</dcterms:created>
  <dcterms:modified xsi:type="dcterms:W3CDTF">2025-01-17T18:02:00Z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2021-10-28T13:31:03Z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8b2b6560-8a92-4235-8de9-0622031d4f2c</vt:lpwstr>
  </property>
  <property fmtid="{D5CDD505-2E9C-101B-9397-08002B2CF9AE}" pid="8" name="MSIP_Label_67599526-06ca-49cc-9fa9-5307800a949a_ContentBits">
    <vt:lpwstr>0</vt:lpwstr>
  </property>
  <property fmtid="{D5CDD505-2E9C-101B-9397-08002B2CF9AE}" pid="9" name="Feature0">
    <vt:lpwstr/>
  </property>
  <property fmtid="{D5CDD505-2E9C-101B-9397-08002B2CF9AE}" pid="10" name="TechnicalWriter">
    <vt:lpwstr/>
  </property>
  <property fmtid="{D5CDD505-2E9C-101B-9397-08002B2CF9AE}" pid="11" name="TechnicalWriterReviewComplete">
    <vt:lpwstr/>
  </property>
  <property fmtid="{D5CDD505-2E9C-101B-9397-08002B2CF9AE}" pid="12" name="ContentTypeId">
    <vt:lpwstr>0x010100BFF65EA64E6B344EA2F2A4020CC41A24</vt:lpwstr>
  </property>
  <property fmtid="{D5CDD505-2E9C-101B-9397-08002B2CF9AE}" pid="13" name="MediaServiceImageTags">
    <vt:lpwstr/>
  </property>
</Properties>
</file>